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23DD" w14:textId="77777777" w:rsidR="00FE7A07" w:rsidRPr="00FE7A07" w:rsidRDefault="00FE7A07" w:rsidP="00FE7A07">
      <w:pPr>
        <w:rPr>
          <w:b/>
        </w:rPr>
      </w:pPr>
    </w:p>
    <w:p w14:paraId="06702C0F" w14:textId="77777777" w:rsidR="00955C81" w:rsidRDefault="00FE7A07" w:rsidP="00955C81">
      <w:pPr>
        <w:rPr>
          <w:b/>
        </w:rPr>
      </w:pPr>
      <w:r w:rsidRPr="00FE7A07">
        <w:rPr>
          <w:b/>
        </w:rPr>
        <w:tab/>
      </w:r>
      <w:r w:rsidRPr="00FE7A07">
        <w:rPr>
          <w:b/>
        </w:rPr>
        <w:tab/>
      </w:r>
      <w:r w:rsidR="00F42F33">
        <w:rPr>
          <w:b/>
        </w:rPr>
        <w:tab/>
      </w:r>
      <w:r w:rsidR="00F42F33">
        <w:rPr>
          <w:b/>
        </w:rPr>
        <w:tab/>
      </w:r>
      <w:r w:rsidR="00F42F33">
        <w:rPr>
          <w:b/>
        </w:rPr>
        <w:tab/>
      </w:r>
      <w:r w:rsidR="00F42F33">
        <w:rPr>
          <w:b/>
        </w:rPr>
        <w:tab/>
      </w:r>
    </w:p>
    <w:p w14:paraId="64FAF8C5" w14:textId="567CA26E" w:rsidR="00AC3F7E" w:rsidRPr="00955C81" w:rsidRDefault="00FE7A07" w:rsidP="00955C81">
      <w:pPr>
        <w:rPr>
          <w:bCs/>
        </w:rPr>
      </w:pPr>
      <w:r w:rsidRPr="00955C81">
        <w:rPr>
          <w:bCs/>
        </w:rPr>
        <w:t xml:space="preserve">Załącznik do Uchwały </w:t>
      </w:r>
      <w:r w:rsidR="00AC3F7E" w:rsidRPr="00955C81">
        <w:rPr>
          <w:bCs/>
        </w:rPr>
        <w:t>NR XIV/146/2025</w:t>
      </w:r>
    </w:p>
    <w:p w14:paraId="0B267875" w14:textId="77777777" w:rsidR="00AC3F7E" w:rsidRPr="00955C81" w:rsidRDefault="00AC3F7E" w:rsidP="00955C81">
      <w:pPr>
        <w:rPr>
          <w:bCs/>
        </w:rPr>
      </w:pPr>
      <w:r w:rsidRPr="00955C81">
        <w:rPr>
          <w:bCs/>
        </w:rPr>
        <w:t>RADY MIASTA MŁAWA</w:t>
      </w:r>
    </w:p>
    <w:p w14:paraId="5DE7E0A4" w14:textId="77777777" w:rsidR="00AC3F7E" w:rsidRPr="00955C81" w:rsidRDefault="00AC3F7E" w:rsidP="00955C81">
      <w:pPr>
        <w:rPr>
          <w:bCs/>
        </w:rPr>
      </w:pPr>
      <w:r w:rsidRPr="00955C81">
        <w:rPr>
          <w:bCs/>
        </w:rPr>
        <w:t>z dnia 29 kwietnia 2025 r.</w:t>
      </w:r>
    </w:p>
    <w:p w14:paraId="000869AA" w14:textId="23A1E000" w:rsidR="00FE7A07" w:rsidRPr="00955C81" w:rsidRDefault="00FE7A07" w:rsidP="00955C81">
      <w:pPr>
        <w:rPr>
          <w:bCs/>
        </w:rPr>
      </w:pPr>
      <w:r w:rsidRPr="00955C81">
        <w:rPr>
          <w:bCs/>
        </w:rPr>
        <w:t>UZASADNIENIE</w:t>
      </w:r>
    </w:p>
    <w:p w14:paraId="5DCA4040" w14:textId="07E58C23" w:rsidR="00FE7A07" w:rsidRPr="00955C81" w:rsidRDefault="00FE7A07" w:rsidP="00955C81">
      <w:pPr>
        <w:rPr>
          <w:bCs/>
        </w:rPr>
      </w:pPr>
      <w:r w:rsidRPr="00955C81">
        <w:rPr>
          <w:bCs/>
        </w:rPr>
        <w:t xml:space="preserve">W dniu </w:t>
      </w:r>
      <w:r w:rsidR="00201E30" w:rsidRPr="00955C81">
        <w:rPr>
          <w:bCs/>
        </w:rPr>
        <w:t>15 kwietnia</w:t>
      </w:r>
      <w:r w:rsidRPr="00955C81">
        <w:rPr>
          <w:bCs/>
        </w:rPr>
        <w:t xml:space="preserve"> 2025 r. do Przewodniczącego Rady Miasta Mława wpłynęła skarga mieszkańca Mławy dotycząca działań Radnego Rady Miasta Mława. Zgodnie z obowiązującą w tym zakresie procedurą Przewodniczący Rady Miasta skierował skargę do Komisji Skarg, Wniosków i Petycji.</w:t>
      </w:r>
    </w:p>
    <w:p w14:paraId="330FB882" w14:textId="4EC997B3" w:rsidR="00FE7A07" w:rsidRPr="00955C81" w:rsidRDefault="00FE7A07" w:rsidP="00955C81">
      <w:pPr>
        <w:rPr>
          <w:bCs/>
        </w:rPr>
      </w:pPr>
      <w:r w:rsidRPr="00955C81">
        <w:rPr>
          <w:bCs/>
        </w:rPr>
        <w:t xml:space="preserve">W celu zbadania zasadności skargi Komisja na posiedzeniu w dniu </w:t>
      </w:r>
      <w:r w:rsidR="00203E28" w:rsidRPr="00955C81">
        <w:rPr>
          <w:bCs/>
        </w:rPr>
        <w:t xml:space="preserve">28 kwietnia </w:t>
      </w:r>
      <w:r w:rsidRPr="00955C81">
        <w:rPr>
          <w:bCs/>
        </w:rPr>
        <w:t>2025 roku dokonała analizy treści skargi i uznała, że rozpatrzenie przedmiotowej skargi nie należy do właściwości Rady Miasta Mława.</w:t>
      </w:r>
    </w:p>
    <w:p w14:paraId="7D2631DC" w14:textId="5FB112A5" w:rsidR="00FE7A07" w:rsidRPr="00955C81" w:rsidRDefault="00FE7A07" w:rsidP="00955C81">
      <w:pPr>
        <w:rPr>
          <w:bCs/>
        </w:rPr>
      </w:pPr>
      <w:r w:rsidRPr="00955C81">
        <w:rPr>
          <w:bCs/>
        </w:rPr>
        <w:t xml:space="preserve">Zważyć należy, iż zgodnie z art.227 ustawy z dnia 14 czerwca 1960 r. Kodeks postępowania administracyjnego (dalej powoływanej jako „k.p.a.”) przedmiotem skargi może być 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w:t>
      </w:r>
      <w:r w:rsidR="001B1E6F" w:rsidRPr="00955C81">
        <w:rPr>
          <w:bCs/>
        </w:rPr>
        <w:t xml:space="preserve">                                        </w:t>
      </w:r>
      <w:r w:rsidRPr="00955C81">
        <w:rPr>
          <w:bCs/>
        </w:rPr>
        <w:t>i funkcjonariuszy (tak m.in. Naczelny Sąd Administracyjny w postanowieniu z dnia 4 kwietnia 2012 r., sygn. akt I OSK 717/12).</w:t>
      </w:r>
    </w:p>
    <w:p w14:paraId="3D53AE92" w14:textId="6EB3AD41" w:rsidR="00FE7A07" w:rsidRPr="00955C81" w:rsidRDefault="00FE7A07" w:rsidP="00955C81">
      <w:pPr>
        <w:rPr>
          <w:bCs/>
        </w:rPr>
      </w:pPr>
      <w:r w:rsidRPr="00955C81">
        <w:rPr>
          <w:bCs/>
        </w:rPr>
        <w:t>Właściwość poszczególnych organów do rozpatrywania skarg została określona w art. 229 k.p.a. Zgodnie z ust. 3 rzeczonego artykułu rada gminy uprawniona jest jedynie do rozpatrzenia skargi złożonej na wójta (burmistrza lub prezydenta miasta)</w:t>
      </w:r>
      <w:r w:rsidR="003A3FB6" w:rsidRPr="00955C81">
        <w:rPr>
          <w:bCs/>
        </w:rPr>
        <w:t xml:space="preserve"> </w:t>
      </w:r>
      <w:r w:rsidRPr="00955C81">
        <w:rPr>
          <w:bCs/>
        </w:rPr>
        <w:t xml:space="preserve">i kierowników gminnych jednostek organizacyjnych, </w:t>
      </w:r>
      <w:r w:rsidR="001B1E6F" w:rsidRPr="00955C81">
        <w:rPr>
          <w:bCs/>
        </w:rPr>
        <w:t xml:space="preserve">                          </w:t>
      </w:r>
      <w:r w:rsidRPr="00955C81">
        <w:rPr>
          <w:bCs/>
        </w:rPr>
        <w:t>z wyjątkiem spraw, należących do zadań zleconych z zakresu administracji rządowej. Co istotne, zgodnie z</w:t>
      </w:r>
      <w:r w:rsidR="001B1E6F" w:rsidRPr="00955C81">
        <w:rPr>
          <w:bCs/>
        </w:rPr>
        <w:t xml:space="preserve"> </w:t>
      </w:r>
      <w:r w:rsidRPr="00955C81">
        <w:rPr>
          <w:bCs/>
        </w:rPr>
        <w:t>ugruntowanym orzecznictwem przepisy określające kompetencje rady gminy</w:t>
      </w:r>
      <w:r w:rsidR="001B1E6F" w:rsidRPr="00955C81">
        <w:rPr>
          <w:bCs/>
        </w:rPr>
        <w:t xml:space="preserve"> </w:t>
      </w:r>
      <w:r w:rsidRPr="00955C81">
        <w:rPr>
          <w:bCs/>
        </w:rPr>
        <w:t xml:space="preserve">w zakresie rozpatrywania skarg nie mogą być interpretowane rozszerzająco. W konsekwencji, stwierdzić należy, </w:t>
      </w:r>
      <w:r w:rsidR="001B1E6F" w:rsidRPr="00955C81">
        <w:rPr>
          <w:bCs/>
        </w:rPr>
        <w:t xml:space="preserve">                           </w:t>
      </w:r>
      <w:r w:rsidRPr="00955C81">
        <w:rPr>
          <w:bCs/>
        </w:rPr>
        <w:t>iż w obowiązującym stanie prawnym brak jest organu, który byłby uprawniony do rozpatrzenia skargi na sposób wykonywania mandatu radnego, czy też władnego do uchylenia mandatu radnego z przyczyn nie wypełniania bądź nie wypełniania należycie obowiązków radnego.</w:t>
      </w:r>
    </w:p>
    <w:p w14:paraId="4E5CF560" w14:textId="210188FF" w:rsidR="00FE7A07" w:rsidRPr="00955C81" w:rsidRDefault="00FE7A07" w:rsidP="00955C81">
      <w:pPr>
        <w:rPr>
          <w:bCs/>
        </w:rPr>
      </w:pPr>
      <w:r w:rsidRPr="00955C81">
        <w:rPr>
          <w:bCs/>
        </w:rPr>
        <w:t xml:space="preserve">Nadmienić nadto należy, iż w obowiązującym porządku prawnym sprawowanie mandatu radnego – zgodnie z przyjętą zasadą mandatu niezwiązanego – nie może być  w żaden sposób ograniczane, tak przez wyborców jak i samą radę.  Zgodnie z treścią art. 23 ust. 1 ustawy z dnia 8 marca 1990 r. </w:t>
      </w:r>
      <w:r w:rsidR="001B1E6F" w:rsidRPr="00955C81">
        <w:rPr>
          <w:bCs/>
        </w:rPr>
        <w:t xml:space="preserve">                                     </w:t>
      </w:r>
      <w:r w:rsidRPr="00955C81">
        <w:rPr>
          <w:bCs/>
        </w:rPr>
        <w:t>o samorządzie gminnym (dalej powoływanej jako „</w:t>
      </w:r>
      <w:proofErr w:type="spellStart"/>
      <w:r w:rsidRPr="00955C81">
        <w:rPr>
          <w:bCs/>
        </w:rPr>
        <w:t>u.s.g</w:t>
      </w:r>
      <w:proofErr w:type="spellEnd"/>
      <w:r w:rsidRPr="00955C81">
        <w:rPr>
          <w:bCs/>
        </w:rPr>
        <w:t xml:space="preserve">.”) radny obowiązany jest kierować się dobrem wspólnoty samorządowej gminy. Radny utrzymuje stałą więź z mieszkańcami oraz ich organizacjami, </w:t>
      </w:r>
      <w:r w:rsidR="00452BFF" w:rsidRPr="00955C81">
        <w:rPr>
          <w:bCs/>
        </w:rPr>
        <w:t xml:space="preserve">    </w:t>
      </w:r>
      <w:r w:rsidRPr="00955C81">
        <w:rPr>
          <w:bCs/>
        </w:rPr>
        <w:t xml:space="preserve">a w szczególności przyjmuje zgłaszane przez mieszkańców gminy postulaty i przedstawia je organom gminy do rozpatrzenia, nie jest jednak związany instrukcjami wyborców. Przepis ten statuuje tym samym zakaz ograniczania swobody radnego w wykonywaniu mandatu, w ramach konstytucyjnie chronionej wolności sumienia (art. 53 ust. 1 Konstytucji Rzeczpospolitej Polskiej). Co istotne, także </w:t>
      </w:r>
      <w:r w:rsidR="00452BFF" w:rsidRPr="00955C81">
        <w:rPr>
          <w:bCs/>
        </w:rPr>
        <w:t xml:space="preserve">            </w:t>
      </w:r>
      <w:r w:rsidRPr="00955C81">
        <w:rPr>
          <w:bCs/>
        </w:rPr>
        <w:t xml:space="preserve">w innych ustawach regulujących kwestie związane z mandatem radnego, w szczególności w ustawie </w:t>
      </w:r>
      <w:r w:rsidR="00452BFF" w:rsidRPr="00955C81">
        <w:rPr>
          <w:bCs/>
        </w:rPr>
        <w:t xml:space="preserve">              </w:t>
      </w:r>
      <w:r w:rsidRPr="00955C81">
        <w:rPr>
          <w:bCs/>
        </w:rPr>
        <w:t xml:space="preserve">z dnia 5 stycznia 2011 r. - Kodeks wyborczy, brak jest przepisu, który zezwalałby na ograniczenie </w:t>
      </w:r>
      <w:r w:rsidRPr="00955C81">
        <w:rPr>
          <w:bCs/>
        </w:rPr>
        <w:lastRenderedPageBreak/>
        <w:t>swobody radnego w wykonywaniu przez niego mandatu. W konsekwencji, uznać należy, iż skoro aktywność radnego nie może być przez radę reglamentowana, nie istnieje również upoważnienie do jego dyscyplinowania.</w:t>
      </w:r>
      <w:r w:rsidR="00595B99" w:rsidRPr="00955C81">
        <w:rPr>
          <w:bCs/>
        </w:rPr>
        <w:t xml:space="preserve"> </w:t>
      </w:r>
      <w:r w:rsidRPr="00955C81">
        <w:rPr>
          <w:bCs/>
        </w:rPr>
        <w:t>A contrario, Rada Miasta Mława nie jest organem władnym do rozstrzygania                               w przedmiocie skargi na działalność osoby wchodzącej w skład tegoż organu kolegialnego.</w:t>
      </w:r>
    </w:p>
    <w:p w14:paraId="5F3E31A6" w14:textId="1BE6BFD0" w:rsidR="00FE7A07" w:rsidRPr="00955C81" w:rsidRDefault="00FE7A07" w:rsidP="00955C81">
      <w:pPr>
        <w:rPr>
          <w:bCs/>
        </w:rPr>
      </w:pPr>
      <w:r w:rsidRPr="00955C81">
        <w:rPr>
          <w:bCs/>
        </w:rPr>
        <w:t>Powyższe stanowisko zostało potwierdzone także w orzecznictwie sądów administracyjnych. Wojewódzki Sąd Administracyjny w Gliwicach w wyroku z dnia 19 marca 2013 r., w sprawie o sygn. akt IV SA/</w:t>
      </w:r>
      <w:proofErr w:type="spellStart"/>
      <w:r w:rsidRPr="00955C81">
        <w:rPr>
          <w:bCs/>
        </w:rPr>
        <w:t>Gl</w:t>
      </w:r>
      <w:proofErr w:type="spellEnd"/>
      <w:r w:rsidRPr="00955C81">
        <w:rPr>
          <w:bCs/>
        </w:rPr>
        <w:t xml:space="preserve"> 534/12, wskazał bowiem, iż obowiązki radnego, również w wymiarze </w:t>
      </w:r>
      <w:proofErr w:type="spellStart"/>
      <w:r w:rsidRPr="00955C81">
        <w:rPr>
          <w:bCs/>
        </w:rPr>
        <w:t>etyczno</w:t>
      </w:r>
      <w:proofErr w:type="spellEnd"/>
      <w:r w:rsidRPr="00955C81">
        <w:rPr>
          <w:bCs/>
        </w:rPr>
        <w:t xml:space="preserve">–moralnym wyczerpująco regulują między innymi art.23  i następne </w:t>
      </w:r>
      <w:proofErr w:type="spellStart"/>
      <w:r w:rsidRPr="00955C81">
        <w:rPr>
          <w:bCs/>
        </w:rPr>
        <w:t>u.s.g</w:t>
      </w:r>
      <w:proofErr w:type="spellEnd"/>
      <w:r w:rsidRPr="00955C81">
        <w:rPr>
          <w:bCs/>
        </w:rPr>
        <w:t xml:space="preserve">. Wojewódzki Sąd Administracyjny </w:t>
      </w:r>
      <w:r w:rsidR="00031714" w:rsidRPr="00955C81">
        <w:rPr>
          <w:bCs/>
        </w:rPr>
        <w:t xml:space="preserve">                            </w:t>
      </w:r>
      <w:r w:rsidRPr="00955C81">
        <w:rPr>
          <w:bCs/>
        </w:rPr>
        <w:t>w wyroku z dnia 19 września 2014 r., w sprawie o sygn. akt III SA/</w:t>
      </w:r>
      <w:proofErr w:type="spellStart"/>
      <w:r w:rsidRPr="00955C81">
        <w:rPr>
          <w:bCs/>
        </w:rPr>
        <w:t>Łd</w:t>
      </w:r>
      <w:proofErr w:type="spellEnd"/>
      <w:r w:rsidRPr="00955C81">
        <w:rPr>
          <w:bCs/>
        </w:rPr>
        <w:t xml:space="preserve"> 676/14 stwierdził zaś, </w:t>
      </w:r>
      <w:r w:rsidR="00031714" w:rsidRPr="00955C81">
        <w:rPr>
          <w:bCs/>
        </w:rPr>
        <w:t xml:space="preserve">                                                </w:t>
      </w:r>
      <w:r w:rsidRPr="00955C81">
        <w:rPr>
          <w:bCs/>
        </w:rPr>
        <w:t xml:space="preserve">że „w orzecznictwie i w doktrynie jest powszechnie przyjęty pogląd, że mandat radnego jest mandatem wolnym. Oznacza to w szczególności, że radny reprezentuje całą wspólnotę samorządową, </w:t>
      </w:r>
      <w:r w:rsidR="001B1E6F" w:rsidRPr="00955C81">
        <w:rPr>
          <w:bCs/>
        </w:rPr>
        <w:t xml:space="preserve">                                     </w:t>
      </w:r>
      <w:r w:rsidRPr="00955C81">
        <w:rPr>
          <w:bCs/>
        </w:rPr>
        <w:t xml:space="preserve">tzn. wszystkich mieszkańców gminy, a nie tylko swój komitet bądź swoich wyborców. Mieszkańcy nie mogą zmusić radnego do ściśle wyznaczonych działań (por. Tomasz </w:t>
      </w:r>
      <w:proofErr w:type="spellStart"/>
      <w:r w:rsidRPr="00955C81">
        <w:rPr>
          <w:bCs/>
        </w:rPr>
        <w:t>Mordel</w:t>
      </w:r>
      <w:proofErr w:type="spellEnd"/>
      <w:r w:rsidRPr="00955C81">
        <w:rPr>
          <w:bCs/>
        </w:rPr>
        <w:t>: "Poradnik dla radnych. Uprawnienia 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 szczególności nie wolno radzie stosować wobec radnego żadnych środków dyscyplinujących” Co istotne, pogląd ten został także wyrażony w wyroku Naczelnego Sądu Administracyjnego z 14 listopada 2003 r., wydanego w sprawie o sygn. akt II SA 2197/03,  w wyroku Naczelnego Sądu Administracyjnego z 17 listopada 1995 r., wydanego w sprawie o sygn. akt SA/</w:t>
      </w:r>
      <w:proofErr w:type="spellStart"/>
      <w:r w:rsidRPr="00955C81">
        <w:rPr>
          <w:bCs/>
        </w:rPr>
        <w:t>Wr</w:t>
      </w:r>
      <w:proofErr w:type="spellEnd"/>
      <w:r w:rsidRPr="00955C81">
        <w:rPr>
          <w:bCs/>
        </w:rPr>
        <w:t xml:space="preserve"> 2515/95 oraz w wyroku Naczelnego Sądu Administracyjnego z 6 listopada 2002 r., wydanego w sprawie o sygn. akt II SA 1968-1974/02, a także w wyroku Wojewódzkiego Sądu Administracyjnego w Krakowie z 24 października 2007 r., wydanego w sprawie o sygn. akt III SA/Kr 625/07 i  wyroku Wojewódzkiego Sądu Administracyjnego w Kielcach z 22 sierpnia 2013 r., wydanego w sprawie o sygn. akt II SA/</w:t>
      </w:r>
      <w:proofErr w:type="spellStart"/>
      <w:r w:rsidRPr="00955C81">
        <w:rPr>
          <w:bCs/>
        </w:rPr>
        <w:t>Ke</w:t>
      </w:r>
      <w:proofErr w:type="spellEnd"/>
      <w:r w:rsidRPr="00955C81">
        <w:rPr>
          <w:bCs/>
        </w:rPr>
        <w:t xml:space="preserve"> 449/13.</w:t>
      </w:r>
    </w:p>
    <w:p w14:paraId="70039BF9" w14:textId="4FE82C37" w:rsidR="00FE7A07" w:rsidRPr="00955C81" w:rsidRDefault="00FE7A07" w:rsidP="00955C81">
      <w:pPr>
        <w:ind w:firstLine="708"/>
        <w:rPr>
          <w:bCs/>
        </w:rPr>
      </w:pPr>
      <w:r w:rsidRPr="00955C81">
        <w:rPr>
          <w:bCs/>
        </w:rPr>
        <w:t>Zważywszy na powyższe, uwzględniając istniejący stan prawny analizowanej sprawy stwierdzić należy, iż Rada nie jest organem właściwym do rozstrzygania w przedmiocie skargi na zachowanie osoby wchodzącej w skład tego organu kolegialnego.</w:t>
      </w:r>
    </w:p>
    <w:p w14:paraId="55838429" w14:textId="77777777" w:rsidR="00FE7A07" w:rsidRPr="00955C81" w:rsidRDefault="00FE7A07" w:rsidP="00955C81">
      <w:pPr>
        <w:rPr>
          <w:bCs/>
        </w:rPr>
      </w:pPr>
    </w:p>
    <w:p w14:paraId="3171F788" w14:textId="77777777" w:rsidR="00FE7A07" w:rsidRPr="00955C81" w:rsidRDefault="00FE7A07" w:rsidP="00955C81">
      <w:pPr>
        <w:rPr>
          <w:bCs/>
        </w:rPr>
      </w:pPr>
    </w:p>
    <w:p w14:paraId="7C31DFB0" w14:textId="77777777" w:rsidR="00FE7A07" w:rsidRPr="00955C81" w:rsidRDefault="00FE7A07" w:rsidP="00955C81">
      <w:pPr>
        <w:rPr>
          <w:bCs/>
        </w:rPr>
      </w:pPr>
    </w:p>
    <w:p w14:paraId="10066AF3" w14:textId="77777777" w:rsidR="00577D5E" w:rsidRPr="00955C81" w:rsidRDefault="00577D5E" w:rsidP="00955C81">
      <w:pPr>
        <w:rPr>
          <w:bCs/>
        </w:rPr>
      </w:pPr>
    </w:p>
    <w:sectPr w:rsidR="00577D5E" w:rsidRPr="00955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7"/>
    <w:rsid w:val="00016116"/>
    <w:rsid w:val="00031714"/>
    <w:rsid w:val="001B1E6F"/>
    <w:rsid w:val="00201E30"/>
    <w:rsid w:val="00203E28"/>
    <w:rsid w:val="003A3FB6"/>
    <w:rsid w:val="00452BFF"/>
    <w:rsid w:val="004E667C"/>
    <w:rsid w:val="00577D5E"/>
    <w:rsid w:val="00595B99"/>
    <w:rsid w:val="005C06ED"/>
    <w:rsid w:val="007035F9"/>
    <w:rsid w:val="00852540"/>
    <w:rsid w:val="00893D5D"/>
    <w:rsid w:val="008A2860"/>
    <w:rsid w:val="00955C81"/>
    <w:rsid w:val="00961354"/>
    <w:rsid w:val="00AA5063"/>
    <w:rsid w:val="00AC3F7E"/>
    <w:rsid w:val="00EB2449"/>
    <w:rsid w:val="00F42F33"/>
    <w:rsid w:val="00F77DCF"/>
    <w:rsid w:val="00FE7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5A13"/>
  <w15:chartTrackingRefBased/>
  <w15:docId w15:val="{2240E2D0-524F-446E-8B7F-BD947B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7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E7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E7A0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E7A0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E7A0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E7A0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E7A0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E7A0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E7A0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7A0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E7A0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E7A0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E7A0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E7A0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E7A0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E7A0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E7A0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E7A07"/>
    <w:rPr>
      <w:rFonts w:eastAsiaTheme="majorEastAsia" w:cstheme="majorBidi"/>
      <w:color w:val="272727" w:themeColor="text1" w:themeTint="D8"/>
    </w:rPr>
  </w:style>
  <w:style w:type="paragraph" w:styleId="Tytu">
    <w:name w:val="Title"/>
    <w:basedOn w:val="Normalny"/>
    <w:next w:val="Normalny"/>
    <w:link w:val="TytuZnak"/>
    <w:uiPriority w:val="10"/>
    <w:qFormat/>
    <w:rsid w:val="00FE7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E7A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7A0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E7A0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7A07"/>
    <w:pPr>
      <w:spacing w:before="160"/>
      <w:jc w:val="center"/>
    </w:pPr>
    <w:rPr>
      <w:i/>
      <w:iCs/>
      <w:color w:val="404040" w:themeColor="text1" w:themeTint="BF"/>
    </w:rPr>
  </w:style>
  <w:style w:type="character" w:customStyle="1" w:styleId="CytatZnak">
    <w:name w:val="Cytat Znak"/>
    <w:basedOn w:val="Domylnaczcionkaakapitu"/>
    <w:link w:val="Cytat"/>
    <w:uiPriority w:val="29"/>
    <w:rsid w:val="00FE7A07"/>
    <w:rPr>
      <w:i/>
      <w:iCs/>
      <w:color w:val="404040" w:themeColor="text1" w:themeTint="BF"/>
    </w:rPr>
  </w:style>
  <w:style w:type="paragraph" w:styleId="Akapitzlist">
    <w:name w:val="List Paragraph"/>
    <w:basedOn w:val="Normalny"/>
    <w:uiPriority w:val="34"/>
    <w:qFormat/>
    <w:rsid w:val="00FE7A07"/>
    <w:pPr>
      <w:ind w:left="720"/>
      <w:contextualSpacing/>
    </w:pPr>
  </w:style>
  <w:style w:type="character" w:styleId="Wyrnienieintensywne">
    <w:name w:val="Intense Emphasis"/>
    <w:basedOn w:val="Domylnaczcionkaakapitu"/>
    <w:uiPriority w:val="21"/>
    <w:qFormat/>
    <w:rsid w:val="00FE7A07"/>
    <w:rPr>
      <w:i/>
      <w:iCs/>
      <w:color w:val="2F5496" w:themeColor="accent1" w:themeShade="BF"/>
    </w:rPr>
  </w:style>
  <w:style w:type="paragraph" w:styleId="Cytatintensywny">
    <w:name w:val="Intense Quote"/>
    <w:basedOn w:val="Normalny"/>
    <w:next w:val="Normalny"/>
    <w:link w:val="CytatintensywnyZnak"/>
    <w:uiPriority w:val="30"/>
    <w:qFormat/>
    <w:rsid w:val="00FE7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E7A07"/>
    <w:rPr>
      <w:i/>
      <w:iCs/>
      <w:color w:val="2F5496" w:themeColor="accent1" w:themeShade="BF"/>
    </w:rPr>
  </w:style>
  <w:style w:type="character" w:styleId="Odwoanieintensywne">
    <w:name w:val="Intense Reference"/>
    <w:basedOn w:val="Domylnaczcionkaakapitu"/>
    <w:uiPriority w:val="32"/>
    <w:qFormat/>
    <w:rsid w:val="00FE7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16704">
      <w:bodyDiv w:val="1"/>
      <w:marLeft w:val="0"/>
      <w:marRight w:val="0"/>
      <w:marTop w:val="0"/>
      <w:marBottom w:val="0"/>
      <w:divBdr>
        <w:top w:val="none" w:sz="0" w:space="0" w:color="auto"/>
        <w:left w:val="none" w:sz="0" w:space="0" w:color="auto"/>
        <w:bottom w:val="none" w:sz="0" w:space="0" w:color="auto"/>
        <w:right w:val="none" w:sz="0" w:space="0" w:color="auto"/>
      </w:divBdr>
    </w:div>
    <w:div w:id="1141272139">
      <w:bodyDiv w:val="1"/>
      <w:marLeft w:val="0"/>
      <w:marRight w:val="0"/>
      <w:marTop w:val="0"/>
      <w:marBottom w:val="0"/>
      <w:divBdr>
        <w:top w:val="none" w:sz="0" w:space="0" w:color="auto"/>
        <w:left w:val="none" w:sz="0" w:space="0" w:color="auto"/>
        <w:bottom w:val="none" w:sz="0" w:space="0" w:color="auto"/>
        <w:right w:val="none" w:sz="0" w:space="0" w:color="auto"/>
      </w:divBdr>
    </w:div>
    <w:div w:id="1184590534">
      <w:bodyDiv w:val="1"/>
      <w:marLeft w:val="0"/>
      <w:marRight w:val="0"/>
      <w:marTop w:val="0"/>
      <w:marBottom w:val="0"/>
      <w:divBdr>
        <w:top w:val="none" w:sz="0" w:space="0" w:color="auto"/>
        <w:left w:val="none" w:sz="0" w:space="0" w:color="auto"/>
        <w:bottom w:val="none" w:sz="0" w:space="0" w:color="auto"/>
        <w:right w:val="none" w:sz="0" w:space="0" w:color="auto"/>
      </w:divBdr>
    </w:div>
    <w:div w:id="1233664694">
      <w:bodyDiv w:val="1"/>
      <w:marLeft w:val="0"/>
      <w:marRight w:val="0"/>
      <w:marTop w:val="0"/>
      <w:marBottom w:val="0"/>
      <w:divBdr>
        <w:top w:val="none" w:sz="0" w:space="0" w:color="auto"/>
        <w:left w:val="none" w:sz="0" w:space="0" w:color="auto"/>
        <w:bottom w:val="none" w:sz="0" w:space="0" w:color="auto"/>
        <w:right w:val="none" w:sz="0" w:space="0" w:color="auto"/>
      </w:divBdr>
    </w:div>
    <w:div w:id="1691250216">
      <w:bodyDiv w:val="1"/>
      <w:marLeft w:val="0"/>
      <w:marRight w:val="0"/>
      <w:marTop w:val="0"/>
      <w:marBottom w:val="0"/>
      <w:divBdr>
        <w:top w:val="none" w:sz="0" w:space="0" w:color="auto"/>
        <w:left w:val="none" w:sz="0" w:space="0" w:color="auto"/>
        <w:bottom w:val="none" w:sz="0" w:space="0" w:color="auto"/>
        <w:right w:val="none" w:sz="0" w:space="0" w:color="auto"/>
      </w:divBdr>
    </w:div>
    <w:div w:id="18680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5366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cp:lastPrinted>2025-04-16T09:14:00Z</cp:lastPrinted>
  <dcterms:created xsi:type="dcterms:W3CDTF">2025-05-06T07:40:00Z</dcterms:created>
  <dcterms:modified xsi:type="dcterms:W3CDTF">2025-05-06T07:40:00Z</dcterms:modified>
</cp:coreProperties>
</file>