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3826375"/>
        <w:docPartObj>
          <w:docPartGallery w:val="Cover Pages"/>
          <w:docPartUnique/>
        </w:docPartObj>
      </w:sdtPr>
      <w:sdtEndPr>
        <w:rPr>
          <w:rFonts w:ascii="AR JULIAN" w:hAnsi="AR JULIAN"/>
          <w:b/>
          <w:bCs/>
          <w:color w:val="2E653E" w:themeColor="accent5" w:themeShade="BF"/>
          <w:sz w:val="72"/>
          <w:szCs w:val="72"/>
        </w:rPr>
      </w:sdtEndPr>
      <w:sdtContent>
        <w:p w:rsidR="00F5228A" w:rsidRDefault="00135E52">
          <w:r>
            <w:rPr>
              <w:noProof/>
            </w:rPr>
            <w:pict>
              <v:group id="Grupa 453" o:spid="_x0000_s1026" style="position:absolute;left:0;text-align:left;margin-left:399.1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iTry6OsEAABRFgAADgAA&#10;AAAAAAAAAAAAAAAuAgAAZHJzL2Uyb0RvYy54bWxQSwECLQAUAAYACAAAACEADXZdht0AAAAGAQAA&#10;DwAAAAAAAAAAAAAAAABFBwAAZHJzL2Rvd25yZXYueG1sUEsFBgAAAAAEAAQA8wAAAE8IAAAAAA==&#10;">
                <v:rect id="Prostokąt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0c7c5 [1945]" stroked="f" strokecolor="white" strokeweight="1pt">
                  <v:fill r:id="rId8" o:title="" opacity="52428f" color2="white [3212]" o:opacity2="52428f" type="pattern"/>
                  <v:shadow color="#d8d8d8" offset="3pt,3pt"/>
                </v:rect>
                <v:rect id="Prostokąt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" fillcolor="#92d050" stroked="f" strokecolor="#d8d8d8"/>
                <v:rect id="Prostokąt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13FF9" w:rsidRDefault="00C13FF9">
                        <w:pPr>
                          <w:pStyle w:val="Bezodstpw"/>
                          <w:rPr>
                            <w:color w:val="FFFFFF" w:themeColor="background1"/>
                            <w:sz w:val="96"/>
                            <w:szCs w:val="96"/>
                          </w:rPr>
                        </w:pPr>
                      </w:p>
                    </w:txbxContent>
                  </v:textbox>
                </v:rect>
                <v:rect id="Prostokąt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13FF9" w:rsidRDefault="00C13FF9">
                        <w:pPr>
                          <w:pStyle w:val="Bezodstpw"/>
                          <w:spacing w:line="360" w:lineRule="auto"/>
                          <w:rPr>
                            <w:color w:val="FFFFFF" w:themeColor="background1"/>
                          </w:rPr>
                        </w:pPr>
                      </w:p>
                      <w:sdt>
                        <w:sdtPr>
                          <w:rPr>
                            <w:color w:val="FFFFFF" w:themeColor="background1"/>
                          </w:rPr>
                          <w:alias w:val="Data"/>
                          <w:id w:val="1156883570"/>
                          <w:showingPlcHdr/>
                          <w:dataBinding w:prefixMappings="xmlns:ns0='http://schemas.microsoft.com/office/2006/coverPageProps'" w:xpath="/ns0:CoverPageProperties[1]/ns0:PublishDate[1]" w:storeItemID="{55AF091B-3C7A-41E3-B477-F2FDAA23CFDA}"/>
                          <w:date>
                            <w:dateFormat w:val="yyyy-MM-dd"/>
                            <w:lid w:val="pl-PL"/>
                            <w:storeMappedDataAs w:val="dateTime"/>
                            <w:calendar w:val="gregorian"/>
                          </w:date>
                        </w:sdtPr>
                        <w:sdtContent>
                          <w:p w:rsidR="00C13FF9" w:rsidRDefault="00AC686B">
                            <w:pPr>
                              <w:pStyle w:val="Bezodstpw"/>
                              <w:spacing w:line="360" w:lineRule="auto"/>
                              <w:rPr>
                                <w:color w:val="FFFFFF" w:themeColor="background1"/>
                              </w:rPr>
                            </w:pPr>
                            <w:r>
                              <w:rPr>
                                <w:color w:val="FFFFFF" w:themeColor="background1"/>
                              </w:rPr>
                              <w:t xml:space="preserve">     </w:t>
                            </w:r>
                          </w:p>
                        </w:sdtContent>
                      </w:sdt>
                    </w:txbxContent>
                  </v:textbox>
                </v:rect>
                <w10:wrap anchorx="page" anchory="page"/>
              </v:group>
            </w:pict>
          </w:r>
        </w:p>
        <w:p w:rsidR="00F5228A" w:rsidRDefault="00135E52">
          <w:pPr>
            <w:spacing w:line="259" w:lineRule="auto"/>
            <w:jc w:val="left"/>
            <w:rPr>
              <w:rFonts w:ascii="AR JULIAN" w:hAnsi="AR JULIAN"/>
              <w:b/>
              <w:bCs/>
              <w:color w:val="2E653E" w:themeColor="accent5" w:themeShade="BF"/>
              <w:sz w:val="72"/>
              <w:szCs w:val="72"/>
            </w:rPr>
          </w:pPr>
          <w:r w:rsidRPr="00135E52">
            <w:rPr>
              <w:noProof/>
            </w:rPr>
            <w:pict>
              <v:rect id="Prostokąt 16" o:spid="_x0000_s1031" style="position:absolute;margin-left:0;margin-top:0;width:592.85pt;height:105.5pt;z-index:251662336;visibility:visible;mso-top-percent:250;mso-position-horizontal:left;mso-position-horizontal-relative:page;mso-position-vertical-relative:page;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" o:allowincell="f" fillcolor="black [3213]" strokecolor="black [3213]" strokeweight="1.5pt">
                <v:textbox inset="14.4pt,,14.4pt">
                  <w:txbxContent>
                    <w:p w:rsidR="00C13FF9" w:rsidRPr="00D65E9A" w:rsidRDefault="00C13FF9" w:rsidP="008312FF">
                      <w:pPr>
                        <w:pStyle w:val="Bezodstpw"/>
                        <w:jc w:val="center"/>
                        <w:rPr>
                          <w:color w:val="FFFFFF" w:themeColor="background1"/>
                          <w:sz w:val="72"/>
                          <w:szCs w:val="72"/>
                        </w:rPr>
                      </w:pPr>
                      <w:r w:rsidRPr="00AE76CF">
                        <w:rPr>
                          <w:rFonts w:ascii="AR JULIAN" w:hAnsi="AR JULIAN"/>
                          <w:b/>
                          <w:bCs/>
                          <w:color w:val="FFFFFF" w:themeColor="background1"/>
                          <w:sz w:val="72"/>
                          <w:szCs w:val="72"/>
                        </w:rPr>
                        <w:t>Program Ogranicz</w:t>
                      </w:r>
                      <w:r w:rsidR="007861DB">
                        <w:rPr>
                          <w:rFonts w:ascii="AR JULIAN" w:hAnsi="AR JULIAN"/>
                          <w:b/>
                          <w:bCs/>
                          <w:color w:val="FFFFFF" w:themeColor="background1"/>
                          <w:sz w:val="72"/>
                          <w:szCs w:val="72"/>
                        </w:rPr>
                        <w:t>a</w:t>
                      </w:r>
                      <w:r w:rsidRPr="00AE76CF">
                        <w:rPr>
                          <w:rFonts w:ascii="AR JULIAN" w:hAnsi="AR JULIAN"/>
                          <w:b/>
                          <w:bCs/>
                          <w:color w:val="FFFFFF" w:themeColor="background1"/>
                          <w:sz w:val="72"/>
                          <w:szCs w:val="72"/>
                        </w:rPr>
                        <w:t xml:space="preserve">niaNiskiej Emisji dla </w:t>
                      </w:r>
                      <w:r>
                        <w:rPr>
                          <w:rFonts w:ascii="AR JULIAN" w:hAnsi="AR JULIAN"/>
                          <w:b/>
                          <w:bCs/>
                          <w:color w:val="FFFFFF" w:themeColor="background1"/>
                          <w:sz w:val="72"/>
                          <w:szCs w:val="72"/>
                        </w:rPr>
                        <w:t>Miasta Mława</w:t>
                      </w:r>
                    </w:p>
                  </w:txbxContent>
                </v:textbox>
                <w10:wrap anchorx="page" anchory="page"/>
              </v:rect>
            </w:pict>
          </w:r>
          <w:r w:rsidR="00D65E9A" w:rsidRPr="00F5228A">
            <w:rPr>
              <w:noProof/>
              <w:lang w:eastAsia="pl-PL"/>
            </w:rPr>
            <w:drawing>
              <wp:anchor distT="0" distB="0" distL="114300" distR="114300" simplePos="0" relativeHeight="251665408" behindDoc="1" locked="0" layoutInCell="1" allowOverlap="1">
                <wp:simplePos x="0" y="0"/>
                <wp:positionH relativeFrom="column">
                  <wp:posOffset>300355</wp:posOffset>
                </wp:positionH>
                <wp:positionV relativeFrom="paragraph">
                  <wp:posOffset>6807200</wp:posOffset>
                </wp:positionV>
                <wp:extent cx="1543050" cy="1694180"/>
                <wp:effectExtent l="0" t="0" r="0" b="1270"/>
                <wp:wrapTight wrapText="bothSides">
                  <wp:wrapPolygon edited="0">
                    <wp:start x="0" y="0"/>
                    <wp:lineTo x="0" y="21373"/>
                    <wp:lineTo x="21333" y="21373"/>
                    <wp:lineTo x="2133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3050" cy="1694180"/>
                        </a:xfrm>
                        <a:prstGeom prst="rect">
                          <a:avLst/>
                        </a:prstGeom>
                      </pic:spPr>
                    </pic:pic>
                  </a:graphicData>
                </a:graphic>
              </wp:anchor>
            </w:drawing>
          </w:r>
          <w:r w:rsidR="00F5228A">
            <w:rPr>
              <w:noProof/>
              <w:lang w:eastAsia="pl-PL"/>
            </w:rPr>
            <w:drawing>
              <wp:anchor distT="0" distB="0" distL="114300" distR="114300" simplePos="0" relativeHeight="251664384" behindDoc="0" locked="0" layoutInCell="1" allowOverlap="1">
                <wp:simplePos x="0" y="0"/>
                <wp:positionH relativeFrom="column">
                  <wp:posOffset>-899795</wp:posOffset>
                </wp:positionH>
                <wp:positionV relativeFrom="paragraph">
                  <wp:posOffset>3663950</wp:posOffset>
                </wp:positionV>
                <wp:extent cx="7615555" cy="2724150"/>
                <wp:effectExtent l="0" t="0" r="4445" b="0"/>
                <wp:wrapThrough wrapText="bothSides">
                  <wp:wrapPolygon edited="0">
                    <wp:start x="0" y="0"/>
                    <wp:lineTo x="0" y="21449"/>
                    <wp:lineTo x="21559" y="21449"/>
                    <wp:lineTo x="21559" y="0"/>
                    <wp:lineTo x="0" y="0"/>
                  </wp:wrapPolygon>
                </wp:wrapThrough>
                <wp:docPr id="2" name="Obraz 2" descr="https://www.mdkmlawa.com/images/PunktInformacjiTurystycznej/SC/ryn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kmlawa.com/images/PunktInformacjiTurystycznej/SC/rynek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15555" cy="2724150"/>
                        </a:xfrm>
                        <a:prstGeom prst="rect">
                          <a:avLst/>
                        </a:prstGeom>
                        <a:noFill/>
                        <a:ln>
                          <a:noFill/>
                        </a:ln>
                      </pic:spPr>
                    </pic:pic>
                  </a:graphicData>
                </a:graphic>
              </wp:anchor>
            </w:drawing>
          </w:r>
          <w:r w:rsidR="00F5228A">
            <w:rPr>
              <w:rFonts w:ascii="AR JULIAN" w:hAnsi="AR JULIAN"/>
              <w:b/>
              <w:bCs/>
              <w:color w:val="2E653E" w:themeColor="accent5" w:themeShade="BF"/>
              <w:sz w:val="72"/>
              <w:szCs w:val="72"/>
            </w:rPr>
            <w:br w:type="page"/>
          </w:r>
        </w:p>
      </w:sdtContent>
    </w:sdt>
    <w:p w:rsidR="00D65E9A" w:rsidRPr="004B648C" w:rsidRDefault="00D65E9A" w:rsidP="00D65E9A">
      <w:pPr>
        <w:jc w:val="center"/>
        <w:rPr>
          <w:rFonts w:cstheme="majorHAnsi"/>
        </w:rPr>
      </w:pPr>
      <w:r w:rsidRPr="004B648C">
        <w:rPr>
          <w:rFonts w:cstheme="majorHAnsi"/>
          <w:noProof/>
          <w:lang w:eastAsia="pl-PL"/>
        </w:rPr>
        <w:lastRenderedPageBreak/>
        <w:drawing>
          <wp:inline distT="0" distB="0" distL="0" distR="0">
            <wp:extent cx="2585357" cy="1238250"/>
            <wp:effectExtent l="0" t="0" r="5715" b="0"/>
            <wp:docPr id="28" name="Obraz 28" descr="C:\Users\Marcin\AppData\Local\Microsoft\Windows\INetCacheContent.Word\grupa 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grupa CD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658" cy="1245578"/>
                    </a:xfrm>
                    <a:prstGeom prst="rect">
                      <a:avLst/>
                    </a:prstGeom>
                    <a:noFill/>
                    <a:ln>
                      <a:noFill/>
                    </a:ln>
                  </pic:spPr>
                </pic:pic>
              </a:graphicData>
            </a:graphic>
          </wp:inline>
        </w:drawing>
      </w:r>
    </w:p>
    <w:p w:rsidR="00D65E9A" w:rsidRPr="004B648C" w:rsidRDefault="00135E52" w:rsidP="00D65E9A">
      <w:pPr>
        <w:rPr>
          <w:rFonts w:cstheme="majorHAnsi"/>
          <w:b/>
        </w:rPr>
      </w:pPr>
      <w:r w:rsidRPr="00135E52">
        <w:rPr>
          <w:rFonts w:cstheme="majorHAnsi"/>
          <w:noProof/>
          <w:lang w:eastAsia="pl-PL"/>
        </w:rPr>
        <w:pict>
          <v:shapetype id="_x0000_t32" coordsize="21600,21600" o:spt="32" o:oned="t" path="m,l21600,21600e" filled="f">
            <v:path arrowok="t" fillok="f" o:connecttype="none"/>
            <o:lock v:ext="edit" shapetype="t"/>
          </v:shapetype>
          <v:shape id="AutoShape 10" o:spid="_x0000_s1033" type="#_x0000_t32" style="position:absolute;left:0;text-align:left;margin-left:108.75pt;margin-top:.85pt;width:251.25pt;height:0;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" strokecolor="#92d050" strokeweight="5pt">
            <v:stroke linestyle="thickThin"/>
            <v:shadow on="t" color="black" opacity="22937f" origin=",.5" offset="0,3pt"/>
          </v:shape>
        </w:pict>
      </w:r>
    </w:p>
    <w:p w:rsidR="00D65E9A" w:rsidRPr="004B648C" w:rsidRDefault="00D65E9A" w:rsidP="00B70A8F">
      <w:pPr>
        <w:spacing w:line="240" w:lineRule="auto"/>
        <w:jc w:val="center"/>
      </w:pPr>
      <w:r w:rsidRPr="004B648C">
        <w:t>Grupa CDE Sp. z o.o.</w:t>
      </w:r>
    </w:p>
    <w:p w:rsidR="00D65E9A" w:rsidRPr="004B648C" w:rsidRDefault="00D65E9A" w:rsidP="00B70A8F">
      <w:pPr>
        <w:spacing w:line="240" w:lineRule="auto"/>
        <w:jc w:val="center"/>
      </w:pPr>
      <w:r w:rsidRPr="004B648C">
        <w:t>Biuro:</w:t>
      </w:r>
    </w:p>
    <w:p w:rsidR="00D65E9A" w:rsidRPr="004B648C" w:rsidRDefault="00D65E9A" w:rsidP="00B70A8F">
      <w:pPr>
        <w:spacing w:line="240" w:lineRule="auto"/>
        <w:jc w:val="center"/>
      </w:pPr>
      <w:r w:rsidRPr="004B648C">
        <w:t>ul. K</w:t>
      </w:r>
      <w:r>
        <w:t>atowicka80</w:t>
      </w:r>
    </w:p>
    <w:p w:rsidR="00D65E9A" w:rsidRPr="004B648C" w:rsidRDefault="00D65E9A" w:rsidP="00B70A8F">
      <w:pPr>
        <w:spacing w:line="240" w:lineRule="auto"/>
        <w:jc w:val="center"/>
      </w:pPr>
      <w:r w:rsidRPr="004B648C">
        <w:t>43-190 Mikołów</w:t>
      </w:r>
    </w:p>
    <w:p w:rsidR="00D65E9A" w:rsidRPr="004B648C" w:rsidRDefault="00D65E9A" w:rsidP="00B70A8F">
      <w:pPr>
        <w:spacing w:line="240" w:lineRule="auto"/>
        <w:jc w:val="center"/>
      </w:pPr>
      <w:r w:rsidRPr="004B648C">
        <w:t>Tel/fax: 32 326 78 16</w:t>
      </w:r>
    </w:p>
    <w:p w:rsidR="00D65E9A" w:rsidRPr="004B648C" w:rsidRDefault="00D65E9A" w:rsidP="00B70A8F">
      <w:pPr>
        <w:spacing w:line="240" w:lineRule="auto"/>
        <w:jc w:val="center"/>
        <w:rPr>
          <w:lang w:val="en-US"/>
        </w:rPr>
      </w:pPr>
      <w:r w:rsidRPr="004B648C">
        <w:rPr>
          <w:lang w:val="en-US"/>
        </w:rPr>
        <w:t>e-mail: biuro@ekocde.pl</w:t>
      </w:r>
    </w:p>
    <w:p w:rsidR="00D65E9A" w:rsidRPr="00201B63" w:rsidRDefault="00D65E9A" w:rsidP="00D65E9A">
      <w:pPr>
        <w:jc w:val="center"/>
        <w:rPr>
          <w:b/>
          <w:lang w:val="en-GB"/>
        </w:rPr>
      </w:pPr>
    </w:p>
    <w:p w:rsidR="00D65E9A" w:rsidRPr="00201B63" w:rsidRDefault="00D65E9A" w:rsidP="00A863B0">
      <w:pPr>
        <w:spacing w:line="240" w:lineRule="auto"/>
        <w:jc w:val="center"/>
        <w:rPr>
          <w:b/>
          <w:lang w:val="en-GB"/>
        </w:rPr>
      </w:pPr>
      <w:r w:rsidRPr="00201B63">
        <w:rPr>
          <w:b/>
          <w:lang w:val="en-GB"/>
        </w:rPr>
        <w:t>Zespół autorów:</w:t>
      </w:r>
    </w:p>
    <w:p w:rsidR="00D65E9A" w:rsidRDefault="00D65E9A" w:rsidP="00A863B0">
      <w:pPr>
        <w:spacing w:line="240" w:lineRule="auto"/>
        <w:jc w:val="center"/>
      </w:pPr>
      <w:r w:rsidRPr="004B648C">
        <w:t>Agnieszka Kopańska</w:t>
      </w:r>
    </w:p>
    <w:p w:rsidR="00D65E9A" w:rsidRPr="004B648C" w:rsidRDefault="00D65E9A" w:rsidP="00A863B0">
      <w:pPr>
        <w:spacing w:line="240" w:lineRule="auto"/>
        <w:jc w:val="center"/>
      </w:pPr>
      <w:r w:rsidRPr="004B648C">
        <w:t>Michał Mroskowiak</w:t>
      </w:r>
    </w:p>
    <w:p w:rsidR="00D65E9A" w:rsidRDefault="00D65E9A" w:rsidP="00A863B0">
      <w:pPr>
        <w:spacing w:line="240" w:lineRule="auto"/>
        <w:jc w:val="center"/>
      </w:pPr>
      <w:r w:rsidRPr="004B648C">
        <w:t>Anna Piotrowska</w:t>
      </w:r>
    </w:p>
    <w:p w:rsidR="00D65E9A" w:rsidRPr="004B648C" w:rsidRDefault="00D65E9A" w:rsidP="00A863B0">
      <w:pPr>
        <w:spacing w:line="240" w:lineRule="auto"/>
        <w:jc w:val="center"/>
      </w:pPr>
      <w:r>
        <w:t>Justyna Płachetka</w:t>
      </w:r>
    </w:p>
    <w:p w:rsidR="00D65E9A" w:rsidRPr="004B648C" w:rsidRDefault="00D65E9A" w:rsidP="00A863B0">
      <w:pPr>
        <w:spacing w:line="240" w:lineRule="auto"/>
        <w:jc w:val="center"/>
      </w:pPr>
      <w:r w:rsidRPr="004B648C">
        <w:t>Wojciech Płachetka</w:t>
      </w:r>
    </w:p>
    <w:p w:rsidR="00D65E9A" w:rsidRDefault="00D65E9A" w:rsidP="00A863B0">
      <w:pPr>
        <w:spacing w:line="240" w:lineRule="auto"/>
        <w:jc w:val="center"/>
      </w:pPr>
      <w:r w:rsidRPr="004B648C">
        <w:t>Aleksandra Szlachta</w:t>
      </w:r>
    </w:p>
    <w:p w:rsidR="00A863B0" w:rsidRDefault="00A863B0" w:rsidP="00A863B0">
      <w:pPr>
        <w:spacing w:line="240" w:lineRule="auto"/>
        <w:jc w:val="center"/>
      </w:pPr>
    </w:p>
    <w:p w:rsidR="00F5228A" w:rsidRDefault="00F5228A" w:rsidP="007A2B2D">
      <w:pPr>
        <w:rPr>
          <w:rFonts w:ascii="AR JULIAN" w:hAnsi="AR JULIAN"/>
          <w:b/>
          <w:bCs/>
          <w:color w:val="2E653E" w:themeColor="accent5" w:themeShade="BF"/>
          <w:sz w:val="72"/>
          <w:szCs w:val="72"/>
        </w:rPr>
      </w:pPr>
    </w:p>
    <w:p w:rsidR="001E2C72" w:rsidRDefault="001E2C72" w:rsidP="007A2B2D">
      <w:pPr>
        <w:rPr>
          <w:rFonts w:ascii="AR JULIAN" w:hAnsi="AR JULIAN"/>
          <w:b/>
          <w:bCs/>
          <w:color w:val="2E653E" w:themeColor="accent5" w:themeShade="BF"/>
          <w:sz w:val="72"/>
          <w:szCs w:val="72"/>
        </w:rPr>
      </w:pPr>
    </w:p>
    <w:p w:rsidR="001E2C72" w:rsidRDefault="001E2C72" w:rsidP="007A2B2D">
      <w:pPr>
        <w:rPr>
          <w:rFonts w:ascii="AR JULIAN" w:hAnsi="AR JULIAN"/>
          <w:b/>
          <w:bCs/>
          <w:color w:val="2E653E" w:themeColor="accent5" w:themeShade="BF"/>
          <w:sz w:val="72"/>
          <w:szCs w:val="72"/>
        </w:rPr>
      </w:pPr>
    </w:p>
    <w:bookmarkStart w:id="0" w:name="_Toc528057754" w:displacedByCustomXml="next"/>
    <w:bookmarkStart w:id="1" w:name="_Toc528747985" w:displacedByCustomXml="next"/>
    <w:sdt>
      <w:sdtPr>
        <w:rPr>
          <w:rFonts w:ascii="Calibri Light" w:eastAsiaTheme="minorEastAsia" w:hAnsi="Calibri Light" w:cstheme="minorBidi"/>
          <w:color w:val="auto"/>
          <w:sz w:val="24"/>
          <w:szCs w:val="22"/>
        </w:rPr>
        <w:id w:val="-989778188"/>
        <w:docPartObj>
          <w:docPartGallery w:val="Table of Contents"/>
          <w:docPartUnique/>
        </w:docPartObj>
      </w:sdtPr>
      <w:sdtEndPr>
        <w:rPr>
          <w:b/>
          <w:bCs/>
        </w:rPr>
      </w:sdtEndPr>
      <w:sdtContent>
        <w:p w:rsidR="001E2C72" w:rsidRPr="00FE536D" w:rsidRDefault="001E2C72">
          <w:pPr>
            <w:pStyle w:val="Nagwekspisutreci"/>
            <w:rPr>
              <w:rStyle w:val="Styl1Znak"/>
            </w:rPr>
          </w:pPr>
          <w:r w:rsidRPr="00FE536D">
            <w:rPr>
              <w:rStyle w:val="Styl1Znak"/>
            </w:rPr>
            <w:t>Spis treści</w:t>
          </w:r>
        </w:p>
        <w:p w:rsidR="00EA53FA" w:rsidRDefault="00135E52">
          <w:pPr>
            <w:pStyle w:val="Spistreci1"/>
            <w:tabs>
              <w:tab w:val="right" w:leader="dot" w:pos="9062"/>
            </w:tabs>
            <w:rPr>
              <w:rFonts w:cstheme="minorBidi"/>
              <w:noProof/>
            </w:rPr>
          </w:pPr>
          <w:r w:rsidRPr="00135E52">
            <w:rPr>
              <w:b/>
              <w:bCs/>
            </w:rPr>
            <w:fldChar w:fldCharType="begin"/>
          </w:r>
          <w:r w:rsidR="001E2C72">
            <w:rPr>
              <w:b/>
              <w:bCs/>
            </w:rPr>
            <w:instrText xml:space="preserve"> TOC \o "1-3" \h \z \u </w:instrText>
          </w:r>
          <w:r w:rsidRPr="00135E52">
            <w:rPr>
              <w:b/>
              <w:bCs/>
            </w:rPr>
            <w:fldChar w:fldCharType="separate"/>
          </w:r>
          <w:hyperlink w:anchor="_Toc535233321" w:history="1">
            <w:r w:rsidR="00EA53FA" w:rsidRPr="00B71B4B">
              <w:rPr>
                <w:rStyle w:val="Hipercze"/>
                <w:noProof/>
              </w:rPr>
              <w:t>1. WSTĘP</w:t>
            </w:r>
            <w:r w:rsidR="00EA53FA">
              <w:rPr>
                <w:noProof/>
                <w:webHidden/>
              </w:rPr>
              <w:tab/>
            </w:r>
            <w:r>
              <w:rPr>
                <w:noProof/>
                <w:webHidden/>
              </w:rPr>
              <w:fldChar w:fldCharType="begin"/>
            </w:r>
            <w:r w:rsidR="00EA53FA">
              <w:rPr>
                <w:noProof/>
                <w:webHidden/>
              </w:rPr>
              <w:instrText xml:space="preserve"> PAGEREF _Toc535233321 \h </w:instrText>
            </w:r>
            <w:r>
              <w:rPr>
                <w:noProof/>
                <w:webHidden/>
              </w:rPr>
            </w:r>
            <w:r>
              <w:rPr>
                <w:noProof/>
                <w:webHidden/>
              </w:rPr>
              <w:fldChar w:fldCharType="separate"/>
            </w:r>
            <w:r w:rsidR="00AD136C">
              <w:rPr>
                <w:noProof/>
                <w:webHidden/>
              </w:rPr>
              <w:t>5</w:t>
            </w:r>
            <w:r>
              <w:rPr>
                <w:noProof/>
                <w:webHidden/>
              </w:rPr>
              <w:fldChar w:fldCharType="end"/>
            </w:r>
          </w:hyperlink>
        </w:p>
        <w:p w:rsidR="00EA53FA" w:rsidRDefault="00135E52">
          <w:pPr>
            <w:pStyle w:val="Spistreci2"/>
            <w:tabs>
              <w:tab w:val="right" w:leader="dot" w:pos="9062"/>
            </w:tabs>
            <w:rPr>
              <w:rFonts w:cstheme="minorBidi"/>
              <w:noProof/>
            </w:rPr>
          </w:pPr>
          <w:hyperlink w:anchor="_Toc535233322" w:history="1">
            <w:r w:rsidR="00EA53FA" w:rsidRPr="00B71B4B">
              <w:rPr>
                <w:rStyle w:val="Hipercze"/>
                <w:noProof/>
              </w:rPr>
              <w:t>1.1 Wykaz skrótów</w:t>
            </w:r>
            <w:r w:rsidR="00EA53FA">
              <w:rPr>
                <w:noProof/>
                <w:webHidden/>
              </w:rPr>
              <w:tab/>
            </w:r>
            <w:r>
              <w:rPr>
                <w:noProof/>
                <w:webHidden/>
              </w:rPr>
              <w:fldChar w:fldCharType="begin"/>
            </w:r>
            <w:r w:rsidR="00EA53FA">
              <w:rPr>
                <w:noProof/>
                <w:webHidden/>
              </w:rPr>
              <w:instrText xml:space="preserve"> PAGEREF _Toc535233322 \h </w:instrText>
            </w:r>
            <w:r>
              <w:rPr>
                <w:noProof/>
                <w:webHidden/>
              </w:rPr>
            </w:r>
            <w:r>
              <w:rPr>
                <w:noProof/>
                <w:webHidden/>
              </w:rPr>
              <w:fldChar w:fldCharType="separate"/>
            </w:r>
            <w:r w:rsidR="00AD136C">
              <w:rPr>
                <w:noProof/>
                <w:webHidden/>
              </w:rPr>
              <w:t>7</w:t>
            </w:r>
            <w:r>
              <w:rPr>
                <w:noProof/>
                <w:webHidden/>
              </w:rPr>
              <w:fldChar w:fldCharType="end"/>
            </w:r>
          </w:hyperlink>
        </w:p>
        <w:p w:rsidR="00EA53FA" w:rsidRDefault="00135E52">
          <w:pPr>
            <w:pStyle w:val="Spistreci1"/>
            <w:tabs>
              <w:tab w:val="right" w:leader="dot" w:pos="9062"/>
            </w:tabs>
            <w:rPr>
              <w:rFonts w:cstheme="minorBidi"/>
              <w:noProof/>
            </w:rPr>
          </w:pPr>
          <w:hyperlink w:anchor="_Toc535233323" w:history="1">
            <w:r w:rsidR="00EA53FA" w:rsidRPr="00B71B4B">
              <w:rPr>
                <w:rStyle w:val="Hipercze"/>
                <w:noProof/>
              </w:rPr>
              <w:t>2. PODSTAWA OPRACOWANIA</w:t>
            </w:r>
            <w:r w:rsidR="00EA53FA">
              <w:rPr>
                <w:noProof/>
                <w:webHidden/>
              </w:rPr>
              <w:tab/>
            </w:r>
            <w:r>
              <w:rPr>
                <w:noProof/>
                <w:webHidden/>
              </w:rPr>
              <w:fldChar w:fldCharType="begin"/>
            </w:r>
            <w:r w:rsidR="00EA53FA">
              <w:rPr>
                <w:noProof/>
                <w:webHidden/>
              </w:rPr>
              <w:instrText xml:space="preserve"> PAGEREF _Toc535233323 \h </w:instrText>
            </w:r>
            <w:r>
              <w:rPr>
                <w:noProof/>
                <w:webHidden/>
              </w:rPr>
            </w:r>
            <w:r>
              <w:rPr>
                <w:noProof/>
                <w:webHidden/>
              </w:rPr>
              <w:fldChar w:fldCharType="separate"/>
            </w:r>
            <w:r w:rsidR="00AD136C">
              <w:rPr>
                <w:noProof/>
                <w:webHidden/>
              </w:rPr>
              <w:t>7</w:t>
            </w:r>
            <w:r>
              <w:rPr>
                <w:noProof/>
                <w:webHidden/>
              </w:rPr>
              <w:fldChar w:fldCharType="end"/>
            </w:r>
          </w:hyperlink>
        </w:p>
        <w:p w:rsidR="00EA53FA" w:rsidRDefault="00135E52">
          <w:pPr>
            <w:pStyle w:val="Spistreci2"/>
            <w:tabs>
              <w:tab w:val="right" w:leader="dot" w:pos="9062"/>
            </w:tabs>
            <w:rPr>
              <w:rFonts w:cstheme="minorBidi"/>
              <w:noProof/>
            </w:rPr>
          </w:pPr>
          <w:hyperlink w:anchor="_Toc535233324" w:history="1">
            <w:r w:rsidR="00EA53FA" w:rsidRPr="00B71B4B">
              <w:rPr>
                <w:rStyle w:val="Hipercze"/>
                <w:noProof/>
              </w:rPr>
              <w:t>2.1 Cel i zakres opracowania</w:t>
            </w:r>
            <w:r w:rsidR="00EA53FA">
              <w:rPr>
                <w:noProof/>
                <w:webHidden/>
              </w:rPr>
              <w:tab/>
            </w:r>
            <w:r>
              <w:rPr>
                <w:noProof/>
                <w:webHidden/>
              </w:rPr>
              <w:fldChar w:fldCharType="begin"/>
            </w:r>
            <w:r w:rsidR="00EA53FA">
              <w:rPr>
                <w:noProof/>
                <w:webHidden/>
              </w:rPr>
              <w:instrText xml:space="preserve"> PAGEREF _Toc535233324 \h </w:instrText>
            </w:r>
            <w:r>
              <w:rPr>
                <w:noProof/>
                <w:webHidden/>
              </w:rPr>
            </w:r>
            <w:r>
              <w:rPr>
                <w:noProof/>
                <w:webHidden/>
              </w:rPr>
              <w:fldChar w:fldCharType="separate"/>
            </w:r>
            <w:r w:rsidR="00AD136C">
              <w:rPr>
                <w:noProof/>
                <w:webHidden/>
              </w:rPr>
              <w:t>9</w:t>
            </w:r>
            <w:r>
              <w:rPr>
                <w:noProof/>
                <w:webHidden/>
              </w:rPr>
              <w:fldChar w:fldCharType="end"/>
            </w:r>
          </w:hyperlink>
        </w:p>
        <w:p w:rsidR="00EA53FA" w:rsidRDefault="00135E52">
          <w:pPr>
            <w:pStyle w:val="Spistreci2"/>
            <w:tabs>
              <w:tab w:val="right" w:leader="dot" w:pos="9062"/>
            </w:tabs>
            <w:rPr>
              <w:rFonts w:cstheme="minorBidi"/>
              <w:noProof/>
            </w:rPr>
          </w:pPr>
          <w:hyperlink w:anchor="_Toc535233325" w:history="1">
            <w:r w:rsidR="00EA53FA" w:rsidRPr="00B71B4B">
              <w:rPr>
                <w:rStyle w:val="Hipercze"/>
                <w:noProof/>
              </w:rPr>
              <w:t>2.2 Przyjęta metodyka</w:t>
            </w:r>
            <w:r w:rsidR="00EA53FA">
              <w:rPr>
                <w:noProof/>
                <w:webHidden/>
              </w:rPr>
              <w:tab/>
            </w:r>
            <w:r>
              <w:rPr>
                <w:noProof/>
                <w:webHidden/>
              </w:rPr>
              <w:fldChar w:fldCharType="begin"/>
            </w:r>
            <w:r w:rsidR="00EA53FA">
              <w:rPr>
                <w:noProof/>
                <w:webHidden/>
              </w:rPr>
              <w:instrText xml:space="preserve"> PAGEREF _Toc535233325 \h </w:instrText>
            </w:r>
            <w:r>
              <w:rPr>
                <w:noProof/>
                <w:webHidden/>
              </w:rPr>
            </w:r>
            <w:r>
              <w:rPr>
                <w:noProof/>
                <w:webHidden/>
              </w:rPr>
              <w:fldChar w:fldCharType="separate"/>
            </w:r>
            <w:r w:rsidR="00AD136C">
              <w:rPr>
                <w:noProof/>
                <w:webHidden/>
              </w:rPr>
              <w:t>10</w:t>
            </w:r>
            <w:r>
              <w:rPr>
                <w:noProof/>
                <w:webHidden/>
              </w:rPr>
              <w:fldChar w:fldCharType="end"/>
            </w:r>
          </w:hyperlink>
        </w:p>
        <w:p w:rsidR="00EA53FA" w:rsidRDefault="00135E52">
          <w:pPr>
            <w:pStyle w:val="Spistreci1"/>
            <w:tabs>
              <w:tab w:val="right" w:leader="dot" w:pos="9062"/>
            </w:tabs>
            <w:rPr>
              <w:rFonts w:cstheme="minorBidi"/>
              <w:noProof/>
            </w:rPr>
          </w:pPr>
          <w:hyperlink w:anchor="_Toc535233326" w:history="1">
            <w:r w:rsidR="00EA53FA" w:rsidRPr="00B71B4B">
              <w:rPr>
                <w:rStyle w:val="Hipercze"/>
                <w:noProof/>
              </w:rPr>
              <w:t>3.  ZBIEŻNOŚĆ PONE Z ZAPISAMI DOKUMENTÓW STRATEGICZNYCH I PLANISTYCZNYCH</w:t>
            </w:r>
            <w:r w:rsidR="00EA53FA">
              <w:rPr>
                <w:noProof/>
                <w:webHidden/>
              </w:rPr>
              <w:tab/>
            </w:r>
            <w:r>
              <w:rPr>
                <w:noProof/>
                <w:webHidden/>
              </w:rPr>
              <w:fldChar w:fldCharType="begin"/>
            </w:r>
            <w:r w:rsidR="00EA53FA">
              <w:rPr>
                <w:noProof/>
                <w:webHidden/>
              </w:rPr>
              <w:instrText xml:space="preserve"> PAGEREF _Toc535233326 \h </w:instrText>
            </w:r>
            <w:r>
              <w:rPr>
                <w:noProof/>
                <w:webHidden/>
              </w:rPr>
            </w:r>
            <w:r>
              <w:rPr>
                <w:noProof/>
                <w:webHidden/>
              </w:rPr>
              <w:fldChar w:fldCharType="separate"/>
            </w:r>
            <w:r w:rsidR="00AD136C">
              <w:rPr>
                <w:noProof/>
                <w:webHidden/>
              </w:rPr>
              <w:t>11</w:t>
            </w:r>
            <w:r>
              <w:rPr>
                <w:noProof/>
                <w:webHidden/>
              </w:rPr>
              <w:fldChar w:fldCharType="end"/>
            </w:r>
          </w:hyperlink>
        </w:p>
        <w:p w:rsidR="00EA53FA" w:rsidRDefault="00135E52">
          <w:pPr>
            <w:pStyle w:val="Spistreci2"/>
            <w:tabs>
              <w:tab w:val="right" w:leader="dot" w:pos="9062"/>
            </w:tabs>
            <w:rPr>
              <w:rFonts w:cstheme="minorBidi"/>
              <w:noProof/>
            </w:rPr>
          </w:pPr>
          <w:hyperlink w:anchor="_Toc535233327" w:history="1">
            <w:r w:rsidR="00EA53FA" w:rsidRPr="00B71B4B">
              <w:rPr>
                <w:rStyle w:val="Hipercze"/>
                <w:noProof/>
              </w:rPr>
              <w:t>3.1 Dokumenty międzynarodowe i krajowe</w:t>
            </w:r>
            <w:r w:rsidR="00EA53FA">
              <w:rPr>
                <w:noProof/>
                <w:webHidden/>
              </w:rPr>
              <w:tab/>
            </w:r>
            <w:r>
              <w:rPr>
                <w:noProof/>
                <w:webHidden/>
              </w:rPr>
              <w:fldChar w:fldCharType="begin"/>
            </w:r>
            <w:r w:rsidR="00EA53FA">
              <w:rPr>
                <w:noProof/>
                <w:webHidden/>
              </w:rPr>
              <w:instrText xml:space="preserve"> PAGEREF _Toc535233327 \h </w:instrText>
            </w:r>
            <w:r>
              <w:rPr>
                <w:noProof/>
                <w:webHidden/>
              </w:rPr>
            </w:r>
            <w:r>
              <w:rPr>
                <w:noProof/>
                <w:webHidden/>
              </w:rPr>
              <w:fldChar w:fldCharType="separate"/>
            </w:r>
            <w:r w:rsidR="00AD136C">
              <w:rPr>
                <w:noProof/>
                <w:webHidden/>
              </w:rPr>
              <w:t>12</w:t>
            </w:r>
            <w:r>
              <w:rPr>
                <w:noProof/>
                <w:webHidden/>
              </w:rPr>
              <w:fldChar w:fldCharType="end"/>
            </w:r>
          </w:hyperlink>
        </w:p>
        <w:p w:rsidR="00EA53FA" w:rsidRDefault="00135E52">
          <w:pPr>
            <w:pStyle w:val="Spistreci2"/>
            <w:tabs>
              <w:tab w:val="right" w:leader="dot" w:pos="9062"/>
            </w:tabs>
            <w:rPr>
              <w:rFonts w:cstheme="minorBidi"/>
              <w:noProof/>
            </w:rPr>
          </w:pPr>
          <w:hyperlink w:anchor="_Toc535233328" w:history="1">
            <w:r w:rsidR="00EA53FA" w:rsidRPr="00B71B4B">
              <w:rPr>
                <w:rStyle w:val="Hipercze"/>
                <w:noProof/>
              </w:rPr>
              <w:t>3.2 Dokumenty wojewódzkie</w:t>
            </w:r>
            <w:r w:rsidR="00EA53FA">
              <w:rPr>
                <w:noProof/>
                <w:webHidden/>
              </w:rPr>
              <w:tab/>
            </w:r>
            <w:r>
              <w:rPr>
                <w:noProof/>
                <w:webHidden/>
              </w:rPr>
              <w:fldChar w:fldCharType="begin"/>
            </w:r>
            <w:r w:rsidR="00EA53FA">
              <w:rPr>
                <w:noProof/>
                <w:webHidden/>
              </w:rPr>
              <w:instrText xml:space="preserve"> PAGEREF _Toc535233328 \h </w:instrText>
            </w:r>
            <w:r>
              <w:rPr>
                <w:noProof/>
                <w:webHidden/>
              </w:rPr>
            </w:r>
            <w:r>
              <w:rPr>
                <w:noProof/>
                <w:webHidden/>
              </w:rPr>
              <w:fldChar w:fldCharType="separate"/>
            </w:r>
            <w:r w:rsidR="00AD136C">
              <w:rPr>
                <w:noProof/>
                <w:webHidden/>
              </w:rPr>
              <w:t>17</w:t>
            </w:r>
            <w:r>
              <w:rPr>
                <w:noProof/>
                <w:webHidden/>
              </w:rPr>
              <w:fldChar w:fldCharType="end"/>
            </w:r>
          </w:hyperlink>
        </w:p>
        <w:p w:rsidR="00EA53FA" w:rsidRDefault="00135E52">
          <w:pPr>
            <w:pStyle w:val="Spistreci2"/>
            <w:tabs>
              <w:tab w:val="right" w:leader="dot" w:pos="9062"/>
            </w:tabs>
            <w:rPr>
              <w:rFonts w:cstheme="minorBidi"/>
              <w:noProof/>
            </w:rPr>
          </w:pPr>
          <w:hyperlink w:anchor="_Toc535233329" w:history="1">
            <w:r w:rsidR="00EA53FA" w:rsidRPr="00B71B4B">
              <w:rPr>
                <w:rStyle w:val="Hipercze"/>
                <w:noProof/>
              </w:rPr>
              <w:t>3.4 Dokumenty lokalne</w:t>
            </w:r>
            <w:r w:rsidR="00EA53FA">
              <w:rPr>
                <w:noProof/>
                <w:webHidden/>
              </w:rPr>
              <w:tab/>
            </w:r>
            <w:r>
              <w:rPr>
                <w:noProof/>
                <w:webHidden/>
              </w:rPr>
              <w:fldChar w:fldCharType="begin"/>
            </w:r>
            <w:r w:rsidR="00EA53FA">
              <w:rPr>
                <w:noProof/>
                <w:webHidden/>
              </w:rPr>
              <w:instrText xml:space="preserve"> PAGEREF _Toc535233329 \h </w:instrText>
            </w:r>
            <w:r>
              <w:rPr>
                <w:noProof/>
                <w:webHidden/>
              </w:rPr>
            </w:r>
            <w:r>
              <w:rPr>
                <w:noProof/>
                <w:webHidden/>
              </w:rPr>
              <w:fldChar w:fldCharType="separate"/>
            </w:r>
            <w:r w:rsidR="00AD136C">
              <w:rPr>
                <w:noProof/>
                <w:webHidden/>
              </w:rPr>
              <w:t>19</w:t>
            </w:r>
            <w:r>
              <w:rPr>
                <w:noProof/>
                <w:webHidden/>
              </w:rPr>
              <w:fldChar w:fldCharType="end"/>
            </w:r>
          </w:hyperlink>
        </w:p>
        <w:p w:rsidR="00EA53FA" w:rsidRDefault="00135E52">
          <w:pPr>
            <w:pStyle w:val="Spistreci1"/>
            <w:tabs>
              <w:tab w:val="right" w:leader="dot" w:pos="9062"/>
            </w:tabs>
            <w:rPr>
              <w:rFonts w:cstheme="minorBidi"/>
              <w:noProof/>
            </w:rPr>
          </w:pPr>
          <w:hyperlink w:anchor="_Toc535233330" w:history="1">
            <w:r w:rsidR="00EA53FA" w:rsidRPr="00B71B4B">
              <w:rPr>
                <w:rStyle w:val="Hipercze"/>
                <w:noProof/>
              </w:rPr>
              <w:t>4. CHARAKTERYSTYKA OBSZARU ODDZIAŁYWANIA PONE</w:t>
            </w:r>
            <w:r w:rsidR="00EA53FA">
              <w:rPr>
                <w:noProof/>
                <w:webHidden/>
              </w:rPr>
              <w:tab/>
            </w:r>
            <w:r>
              <w:rPr>
                <w:noProof/>
                <w:webHidden/>
              </w:rPr>
              <w:fldChar w:fldCharType="begin"/>
            </w:r>
            <w:r w:rsidR="00EA53FA">
              <w:rPr>
                <w:noProof/>
                <w:webHidden/>
              </w:rPr>
              <w:instrText xml:space="preserve"> PAGEREF _Toc535233330 \h </w:instrText>
            </w:r>
            <w:r>
              <w:rPr>
                <w:noProof/>
                <w:webHidden/>
              </w:rPr>
            </w:r>
            <w:r>
              <w:rPr>
                <w:noProof/>
                <w:webHidden/>
              </w:rPr>
              <w:fldChar w:fldCharType="separate"/>
            </w:r>
            <w:r w:rsidR="00AD136C">
              <w:rPr>
                <w:noProof/>
                <w:webHidden/>
              </w:rPr>
              <w:t>26</w:t>
            </w:r>
            <w:r>
              <w:rPr>
                <w:noProof/>
                <w:webHidden/>
              </w:rPr>
              <w:fldChar w:fldCharType="end"/>
            </w:r>
          </w:hyperlink>
        </w:p>
        <w:p w:rsidR="00EA53FA" w:rsidRDefault="00135E52">
          <w:pPr>
            <w:pStyle w:val="Spistreci2"/>
            <w:tabs>
              <w:tab w:val="right" w:leader="dot" w:pos="9062"/>
            </w:tabs>
            <w:rPr>
              <w:rFonts w:cstheme="minorBidi"/>
              <w:noProof/>
            </w:rPr>
          </w:pPr>
          <w:hyperlink w:anchor="_Toc535233331" w:history="1">
            <w:r w:rsidR="00EA53FA" w:rsidRPr="00B71B4B">
              <w:rPr>
                <w:rStyle w:val="Hipercze"/>
                <w:noProof/>
              </w:rPr>
              <w:t>4.1 Identyfikacja obszaru</w:t>
            </w:r>
            <w:r w:rsidR="00EA53FA">
              <w:rPr>
                <w:noProof/>
                <w:webHidden/>
              </w:rPr>
              <w:tab/>
            </w:r>
            <w:r>
              <w:rPr>
                <w:noProof/>
                <w:webHidden/>
              </w:rPr>
              <w:fldChar w:fldCharType="begin"/>
            </w:r>
            <w:r w:rsidR="00EA53FA">
              <w:rPr>
                <w:noProof/>
                <w:webHidden/>
              </w:rPr>
              <w:instrText xml:space="preserve"> PAGEREF _Toc535233331 \h </w:instrText>
            </w:r>
            <w:r>
              <w:rPr>
                <w:noProof/>
                <w:webHidden/>
              </w:rPr>
            </w:r>
            <w:r>
              <w:rPr>
                <w:noProof/>
                <w:webHidden/>
              </w:rPr>
              <w:fldChar w:fldCharType="separate"/>
            </w:r>
            <w:r w:rsidR="00AD136C">
              <w:rPr>
                <w:noProof/>
                <w:webHidden/>
              </w:rPr>
              <w:t>26</w:t>
            </w:r>
            <w:r>
              <w:rPr>
                <w:noProof/>
                <w:webHidden/>
              </w:rPr>
              <w:fldChar w:fldCharType="end"/>
            </w:r>
          </w:hyperlink>
        </w:p>
        <w:p w:rsidR="00EA53FA" w:rsidRDefault="00135E52">
          <w:pPr>
            <w:pStyle w:val="Spistreci2"/>
            <w:tabs>
              <w:tab w:val="right" w:leader="dot" w:pos="9062"/>
            </w:tabs>
            <w:rPr>
              <w:rFonts w:cstheme="minorBidi"/>
              <w:noProof/>
            </w:rPr>
          </w:pPr>
          <w:hyperlink w:anchor="_Toc535233332" w:history="1">
            <w:r w:rsidR="00EA53FA" w:rsidRPr="00B71B4B">
              <w:rPr>
                <w:rStyle w:val="Hipercze"/>
                <w:noProof/>
              </w:rPr>
              <w:t>4.2 Lokalizacja</w:t>
            </w:r>
            <w:r w:rsidR="00EA53FA">
              <w:rPr>
                <w:noProof/>
                <w:webHidden/>
              </w:rPr>
              <w:tab/>
            </w:r>
            <w:r>
              <w:rPr>
                <w:noProof/>
                <w:webHidden/>
              </w:rPr>
              <w:fldChar w:fldCharType="begin"/>
            </w:r>
            <w:r w:rsidR="00EA53FA">
              <w:rPr>
                <w:noProof/>
                <w:webHidden/>
              </w:rPr>
              <w:instrText xml:space="preserve"> PAGEREF _Toc535233332 \h </w:instrText>
            </w:r>
            <w:r>
              <w:rPr>
                <w:noProof/>
                <w:webHidden/>
              </w:rPr>
            </w:r>
            <w:r>
              <w:rPr>
                <w:noProof/>
                <w:webHidden/>
              </w:rPr>
              <w:fldChar w:fldCharType="separate"/>
            </w:r>
            <w:r w:rsidR="00AD136C">
              <w:rPr>
                <w:noProof/>
                <w:webHidden/>
              </w:rPr>
              <w:t>27</w:t>
            </w:r>
            <w:r>
              <w:rPr>
                <w:noProof/>
                <w:webHidden/>
              </w:rPr>
              <w:fldChar w:fldCharType="end"/>
            </w:r>
          </w:hyperlink>
        </w:p>
        <w:p w:rsidR="00EA53FA" w:rsidRDefault="00135E52">
          <w:pPr>
            <w:pStyle w:val="Spistreci2"/>
            <w:tabs>
              <w:tab w:val="right" w:leader="dot" w:pos="9062"/>
            </w:tabs>
            <w:rPr>
              <w:rFonts w:cstheme="minorBidi"/>
              <w:noProof/>
            </w:rPr>
          </w:pPr>
          <w:hyperlink w:anchor="_Toc535233333" w:history="1">
            <w:r w:rsidR="00EA53FA" w:rsidRPr="00B71B4B">
              <w:rPr>
                <w:rStyle w:val="Hipercze"/>
                <w:noProof/>
              </w:rPr>
              <w:t>4.3 Demografia i gospodarka</w:t>
            </w:r>
            <w:r w:rsidR="00EA53FA">
              <w:rPr>
                <w:noProof/>
                <w:webHidden/>
              </w:rPr>
              <w:tab/>
            </w:r>
            <w:r>
              <w:rPr>
                <w:noProof/>
                <w:webHidden/>
              </w:rPr>
              <w:fldChar w:fldCharType="begin"/>
            </w:r>
            <w:r w:rsidR="00EA53FA">
              <w:rPr>
                <w:noProof/>
                <w:webHidden/>
              </w:rPr>
              <w:instrText xml:space="preserve"> PAGEREF _Toc535233333 \h </w:instrText>
            </w:r>
            <w:r>
              <w:rPr>
                <w:noProof/>
                <w:webHidden/>
              </w:rPr>
            </w:r>
            <w:r>
              <w:rPr>
                <w:noProof/>
                <w:webHidden/>
              </w:rPr>
              <w:fldChar w:fldCharType="separate"/>
            </w:r>
            <w:r w:rsidR="00AD136C">
              <w:rPr>
                <w:noProof/>
                <w:webHidden/>
              </w:rPr>
              <w:t>28</w:t>
            </w:r>
            <w:r>
              <w:rPr>
                <w:noProof/>
                <w:webHidden/>
              </w:rPr>
              <w:fldChar w:fldCharType="end"/>
            </w:r>
          </w:hyperlink>
        </w:p>
        <w:p w:rsidR="00EA53FA" w:rsidRDefault="00135E52">
          <w:pPr>
            <w:pStyle w:val="Spistreci2"/>
            <w:tabs>
              <w:tab w:val="right" w:leader="dot" w:pos="9062"/>
            </w:tabs>
            <w:rPr>
              <w:rFonts w:cstheme="minorBidi"/>
              <w:noProof/>
            </w:rPr>
          </w:pPr>
          <w:hyperlink w:anchor="_Toc535233334" w:history="1">
            <w:r w:rsidR="00EA53FA" w:rsidRPr="00B71B4B">
              <w:rPr>
                <w:rStyle w:val="Hipercze"/>
                <w:noProof/>
              </w:rPr>
              <w:t>4.4 Uwarunkowania demograficzne</w:t>
            </w:r>
            <w:r w:rsidR="00EA53FA">
              <w:rPr>
                <w:noProof/>
                <w:webHidden/>
              </w:rPr>
              <w:tab/>
            </w:r>
            <w:r>
              <w:rPr>
                <w:noProof/>
                <w:webHidden/>
              </w:rPr>
              <w:fldChar w:fldCharType="begin"/>
            </w:r>
            <w:r w:rsidR="00EA53FA">
              <w:rPr>
                <w:noProof/>
                <w:webHidden/>
              </w:rPr>
              <w:instrText xml:space="preserve"> PAGEREF _Toc535233334 \h </w:instrText>
            </w:r>
            <w:r>
              <w:rPr>
                <w:noProof/>
                <w:webHidden/>
              </w:rPr>
            </w:r>
            <w:r>
              <w:rPr>
                <w:noProof/>
                <w:webHidden/>
              </w:rPr>
              <w:fldChar w:fldCharType="separate"/>
            </w:r>
            <w:r w:rsidR="00AD136C">
              <w:rPr>
                <w:noProof/>
                <w:webHidden/>
              </w:rPr>
              <w:t>28</w:t>
            </w:r>
            <w:r>
              <w:rPr>
                <w:noProof/>
                <w:webHidden/>
              </w:rPr>
              <w:fldChar w:fldCharType="end"/>
            </w:r>
          </w:hyperlink>
        </w:p>
        <w:p w:rsidR="00EA53FA" w:rsidRDefault="00135E52">
          <w:pPr>
            <w:pStyle w:val="Spistreci2"/>
            <w:tabs>
              <w:tab w:val="right" w:leader="dot" w:pos="9062"/>
            </w:tabs>
            <w:rPr>
              <w:rFonts w:cstheme="minorBidi"/>
              <w:noProof/>
            </w:rPr>
          </w:pPr>
          <w:hyperlink w:anchor="_Toc535233335" w:history="1">
            <w:r w:rsidR="00EA53FA" w:rsidRPr="00B71B4B">
              <w:rPr>
                <w:rStyle w:val="Hipercze"/>
                <w:noProof/>
              </w:rPr>
              <w:t>4.5 Uwarunkowania gospodarcze</w:t>
            </w:r>
            <w:r w:rsidR="00EA53FA">
              <w:rPr>
                <w:noProof/>
                <w:webHidden/>
              </w:rPr>
              <w:tab/>
            </w:r>
            <w:r>
              <w:rPr>
                <w:noProof/>
                <w:webHidden/>
              </w:rPr>
              <w:fldChar w:fldCharType="begin"/>
            </w:r>
            <w:r w:rsidR="00EA53FA">
              <w:rPr>
                <w:noProof/>
                <w:webHidden/>
              </w:rPr>
              <w:instrText xml:space="preserve"> PAGEREF _Toc535233335 \h </w:instrText>
            </w:r>
            <w:r>
              <w:rPr>
                <w:noProof/>
                <w:webHidden/>
              </w:rPr>
            </w:r>
            <w:r>
              <w:rPr>
                <w:noProof/>
                <w:webHidden/>
              </w:rPr>
              <w:fldChar w:fldCharType="separate"/>
            </w:r>
            <w:r w:rsidR="00AD136C">
              <w:rPr>
                <w:noProof/>
                <w:webHidden/>
              </w:rPr>
              <w:t>29</w:t>
            </w:r>
            <w:r>
              <w:rPr>
                <w:noProof/>
                <w:webHidden/>
              </w:rPr>
              <w:fldChar w:fldCharType="end"/>
            </w:r>
          </w:hyperlink>
        </w:p>
        <w:p w:rsidR="00EA53FA" w:rsidRDefault="00135E52">
          <w:pPr>
            <w:pStyle w:val="Spistreci2"/>
            <w:tabs>
              <w:tab w:val="right" w:leader="dot" w:pos="9062"/>
            </w:tabs>
            <w:rPr>
              <w:rFonts w:cstheme="minorBidi"/>
              <w:noProof/>
            </w:rPr>
          </w:pPr>
          <w:hyperlink w:anchor="_Toc535233336" w:history="1">
            <w:r w:rsidR="00EA53FA" w:rsidRPr="00B71B4B">
              <w:rPr>
                <w:rStyle w:val="Hipercze"/>
                <w:noProof/>
              </w:rPr>
              <w:t>4.6 Układ komunikacji zbiorowej</w:t>
            </w:r>
            <w:r w:rsidR="00EA53FA">
              <w:rPr>
                <w:noProof/>
                <w:webHidden/>
              </w:rPr>
              <w:tab/>
            </w:r>
            <w:r>
              <w:rPr>
                <w:noProof/>
                <w:webHidden/>
              </w:rPr>
              <w:fldChar w:fldCharType="begin"/>
            </w:r>
            <w:r w:rsidR="00EA53FA">
              <w:rPr>
                <w:noProof/>
                <w:webHidden/>
              </w:rPr>
              <w:instrText xml:space="preserve"> PAGEREF _Toc535233336 \h </w:instrText>
            </w:r>
            <w:r>
              <w:rPr>
                <w:noProof/>
                <w:webHidden/>
              </w:rPr>
            </w:r>
            <w:r>
              <w:rPr>
                <w:noProof/>
                <w:webHidden/>
              </w:rPr>
              <w:fldChar w:fldCharType="separate"/>
            </w:r>
            <w:r w:rsidR="00AD136C">
              <w:rPr>
                <w:noProof/>
                <w:webHidden/>
              </w:rPr>
              <w:t>30</w:t>
            </w:r>
            <w:r>
              <w:rPr>
                <w:noProof/>
                <w:webHidden/>
              </w:rPr>
              <w:fldChar w:fldCharType="end"/>
            </w:r>
          </w:hyperlink>
        </w:p>
        <w:p w:rsidR="00EA53FA" w:rsidRDefault="00135E52">
          <w:pPr>
            <w:pStyle w:val="Spistreci2"/>
            <w:tabs>
              <w:tab w:val="right" w:leader="dot" w:pos="9062"/>
            </w:tabs>
            <w:rPr>
              <w:rFonts w:cstheme="minorBidi"/>
              <w:noProof/>
            </w:rPr>
          </w:pPr>
          <w:hyperlink w:anchor="_Toc535233337" w:history="1">
            <w:r w:rsidR="00EA53FA" w:rsidRPr="00B71B4B">
              <w:rPr>
                <w:rStyle w:val="Hipercze"/>
                <w:noProof/>
              </w:rPr>
              <w:t>4.7 Komunikacja samochodowa i układ drogowy</w:t>
            </w:r>
            <w:r w:rsidR="00EA53FA">
              <w:rPr>
                <w:noProof/>
                <w:webHidden/>
              </w:rPr>
              <w:tab/>
            </w:r>
            <w:r>
              <w:rPr>
                <w:noProof/>
                <w:webHidden/>
              </w:rPr>
              <w:fldChar w:fldCharType="begin"/>
            </w:r>
            <w:r w:rsidR="00EA53FA">
              <w:rPr>
                <w:noProof/>
                <w:webHidden/>
              </w:rPr>
              <w:instrText xml:space="preserve"> PAGEREF _Toc535233337 \h </w:instrText>
            </w:r>
            <w:r>
              <w:rPr>
                <w:noProof/>
                <w:webHidden/>
              </w:rPr>
            </w:r>
            <w:r>
              <w:rPr>
                <w:noProof/>
                <w:webHidden/>
              </w:rPr>
              <w:fldChar w:fldCharType="separate"/>
            </w:r>
            <w:r w:rsidR="00AD136C">
              <w:rPr>
                <w:noProof/>
                <w:webHidden/>
              </w:rPr>
              <w:t>30</w:t>
            </w:r>
            <w:r>
              <w:rPr>
                <w:noProof/>
                <w:webHidden/>
              </w:rPr>
              <w:fldChar w:fldCharType="end"/>
            </w:r>
          </w:hyperlink>
        </w:p>
        <w:p w:rsidR="00EA53FA" w:rsidRDefault="00135E52">
          <w:pPr>
            <w:pStyle w:val="Spistreci2"/>
            <w:tabs>
              <w:tab w:val="right" w:leader="dot" w:pos="9062"/>
            </w:tabs>
            <w:rPr>
              <w:rFonts w:cstheme="minorBidi"/>
              <w:noProof/>
            </w:rPr>
          </w:pPr>
          <w:hyperlink w:anchor="_Toc535233338" w:history="1">
            <w:r w:rsidR="00EA53FA" w:rsidRPr="00B71B4B">
              <w:rPr>
                <w:rStyle w:val="Hipercze"/>
                <w:noProof/>
              </w:rPr>
              <w:t>4.8 Charakter istniejącej infrastruktury mieszkaniowej</w:t>
            </w:r>
            <w:r w:rsidR="00EA53FA">
              <w:rPr>
                <w:noProof/>
                <w:webHidden/>
              </w:rPr>
              <w:tab/>
            </w:r>
            <w:r>
              <w:rPr>
                <w:noProof/>
                <w:webHidden/>
              </w:rPr>
              <w:fldChar w:fldCharType="begin"/>
            </w:r>
            <w:r w:rsidR="00EA53FA">
              <w:rPr>
                <w:noProof/>
                <w:webHidden/>
              </w:rPr>
              <w:instrText xml:space="preserve"> PAGEREF _Toc535233338 \h </w:instrText>
            </w:r>
            <w:r>
              <w:rPr>
                <w:noProof/>
                <w:webHidden/>
              </w:rPr>
            </w:r>
            <w:r>
              <w:rPr>
                <w:noProof/>
                <w:webHidden/>
              </w:rPr>
              <w:fldChar w:fldCharType="separate"/>
            </w:r>
            <w:r w:rsidR="00AD136C">
              <w:rPr>
                <w:noProof/>
                <w:webHidden/>
              </w:rPr>
              <w:t>31</w:t>
            </w:r>
            <w:r>
              <w:rPr>
                <w:noProof/>
                <w:webHidden/>
              </w:rPr>
              <w:fldChar w:fldCharType="end"/>
            </w:r>
          </w:hyperlink>
        </w:p>
        <w:p w:rsidR="00EA53FA" w:rsidRDefault="00135E52">
          <w:pPr>
            <w:pStyle w:val="Spistreci1"/>
            <w:tabs>
              <w:tab w:val="right" w:leader="dot" w:pos="9062"/>
            </w:tabs>
            <w:rPr>
              <w:rFonts w:cstheme="minorBidi"/>
              <w:noProof/>
            </w:rPr>
          </w:pPr>
          <w:hyperlink w:anchor="_Toc535233339" w:history="1">
            <w:r w:rsidR="00EA53FA" w:rsidRPr="00B71B4B">
              <w:rPr>
                <w:rStyle w:val="Hipercze"/>
                <w:noProof/>
              </w:rPr>
              <w:t>5. STAN POWIETRZA ATMOSFERYCZNEGO</w:t>
            </w:r>
            <w:r w:rsidR="00EA53FA">
              <w:rPr>
                <w:noProof/>
                <w:webHidden/>
              </w:rPr>
              <w:tab/>
            </w:r>
            <w:r>
              <w:rPr>
                <w:noProof/>
                <w:webHidden/>
              </w:rPr>
              <w:fldChar w:fldCharType="begin"/>
            </w:r>
            <w:r w:rsidR="00EA53FA">
              <w:rPr>
                <w:noProof/>
                <w:webHidden/>
              </w:rPr>
              <w:instrText xml:space="preserve"> PAGEREF _Toc535233339 \h </w:instrText>
            </w:r>
            <w:r>
              <w:rPr>
                <w:noProof/>
                <w:webHidden/>
              </w:rPr>
            </w:r>
            <w:r>
              <w:rPr>
                <w:noProof/>
                <w:webHidden/>
              </w:rPr>
              <w:fldChar w:fldCharType="separate"/>
            </w:r>
            <w:r w:rsidR="00AD136C">
              <w:rPr>
                <w:noProof/>
                <w:webHidden/>
              </w:rPr>
              <w:t>32</w:t>
            </w:r>
            <w:r>
              <w:rPr>
                <w:noProof/>
                <w:webHidden/>
              </w:rPr>
              <w:fldChar w:fldCharType="end"/>
            </w:r>
          </w:hyperlink>
        </w:p>
        <w:p w:rsidR="00EA53FA" w:rsidRDefault="00135E52">
          <w:pPr>
            <w:pStyle w:val="Spistreci2"/>
            <w:tabs>
              <w:tab w:val="right" w:leader="dot" w:pos="9062"/>
            </w:tabs>
            <w:rPr>
              <w:rFonts w:cstheme="minorBidi"/>
              <w:noProof/>
            </w:rPr>
          </w:pPr>
          <w:hyperlink w:anchor="_Toc535233340" w:history="1">
            <w:r w:rsidR="00EA53FA" w:rsidRPr="00B71B4B">
              <w:rPr>
                <w:rStyle w:val="Hipercze"/>
                <w:noProof/>
              </w:rPr>
              <w:t>5.1 Monitorowanie stanu jakości powietrza</w:t>
            </w:r>
            <w:r w:rsidR="00EA53FA">
              <w:rPr>
                <w:noProof/>
                <w:webHidden/>
              </w:rPr>
              <w:tab/>
            </w:r>
            <w:r>
              <w:rPr>
                <w:noProof/>
                <w:webHidden/>
              </w:rPr>
              <w:fldChar w:fldCharType="begin"/>
            </w:r>
            <w:r w:rsidR="00EA53FA">
              <w:rPr>
                <w:noProof/>
                <w:webHidden/>
              </w:rPr>
              <w:instrText xml:space="preserve"> PAGEREF _Toc535233340 \h </w:instrText>
            </w:r>
            <w:r>
              <w:rPr>
                <w:noProof/>
                <w:webHidden/>
              </w:rPr>
            </w:r>
            <w:r>
              <w:rPr>
                <w:noProof/>
                <w:webHidden/>
              </w:rPr>
              <w:fldChar w:fldCharType="separate"/>
            </w:r>
            <w:r w:rsidR="00AD136C">
              <w:rPr>
                <w:noProof/>
                <w:webHidden/>
              </w:rPr>
              <w:t>32</w:t>
            </w:r>
            <w:r>
              <w:rPr>
                <w:noProof/>
                <w:webHidden/>
              </w:rPr>
              <w:fldChar w:fldCharType="end"/>
            </w:r>
          </w:hyperlink>
        </w:p>
        <w:p w:rsidR="00EA53FA" w:rsidRDefault="00135E52">
          <w:pPr>
            <w:pStyle w:val="Spistreci2"/>
            <w:tabs>
              <w:tab w:val="right" w:leader="dot" w:pos="9062"/>
            </w:tabs>
            <w:rPr>
              <w:rFonts w:cstheme="minorBidi"/>
              <w:noProof/>
            </w:rPr>
          </w:pPr>
          <w:hyperlink w:anchor="_Toc535233341" w:history="1">
            <w:r w:rsidR="00EA53FA" w:rsidRPr="00B71B4B">
              <w:rPr>
                <w:rStyle w:val="Hipercze"/>
                <w:noProof/>
              </w:rPr>
              <w:t>5.2 Zanieczyszczenia powietrza na terenie Miasta Mława</w:t>
            </w:r>
            <w:r w:rsidR="00EA53FA">
              <w:rPr>
                <w:noProof/>
                <w:webHidden/>
              </w:rPr>
              <w:tab/>
            </w:r>
            <w:r>
              <w:rPr>
                <w:noProof/>
                <w:webHidden/>
              </w:rPr>
              <w:fldChar w:fldCharType="begin"/>
            </w:r>
            <w:r w:rsidR="00EA53FA">
              <w:rPr>
                <w:noProof/>
                <w:webHidden/>
              </w:rPr>
              <w:instrText xml:space="preserve"> PAGEREF _Toc535233341 \h </w:instrText>
            </w:r>
            <w:r>
              <w:rPr>
                <w:noProof/>
                <w:webHidden/>
              </w:rPr>
            </w:r>
            <w:r>
              <w:rPr>
                <w:noProof/>
                <w:webHidden/>
              </w:rPr>
              <w:fldChar w:fldCharType="separate"/>
            </w:r>
            <w:r w:rsidR="00AD136C">
              <w:rPr>
                <w:noProof/>
                <w:webHidden/>
              </w:rPr>
              <w:t>34</w:t>
            </w:r>
            <w:r>
              <w:rPr>
                <w:noProof/>
                <w:webHidden/>
              </w:rPr>
              <w:fldChar w:fldCharType="end"/>
            </w:r>
          </w:hyperlink>
        </w:p>
        <w:p w:rsidR="00EA53FA" w:rsidRDefault="00135E52">
          <w:pPr>
            <w:pStyle w:val="Spistreci2"/>
            <w:tabs>
              <w:tab w:val="right" w:leader="dot" w:pos="9062"/>
            </w:tabs>
            <w:rPr>
              <w:rFonts w:cstheme="minorBidi"/>
              <w:noProof/>
            </w:rPr>
          </w:pPr>
          <w:hyperlink w:anchor="_Toc535233342" w:history="1">
            <w:r w:rsidR="00EA53FA" w:rsidRPr="00B71B4B">
              <w:rPr>
                <w:rStyle w:val="Hipercze"/>
                <w:noProof/>
              </w:rPr>
              <w:t>5.3 Zanieczyszczenia powietrza w Mławie na tle województwa mazowieckiego</w:t>
            </w:r>
            <w:r w:rsidR="00EA53FA">
              <w:rPr>
                <w:noProof/>
                <w:webHidden/>
              </w:rPr>
              <w:tab/>
            </w:r>
            <w:r>
              <w:rPr>
                <w:noProof/>
                <w:webHidden/>
              </w:rPr>
              <w:fldChar w:fldCharType="begin"/>
            </w:r>
            <w:r w:rsidR="00EA53FA">
              <w:rPr>
                <w:noProof/>
                <w:webHidden/>
              </w:rPr>
              <w:instrText xml:space="preserve"> PAGEREF _Toc535233342 \h </w:instrText>
            </w:r>
            <w:r>
              <w:rPr>
                <w:noProof/>
                <w:webHidden/>
              </w:rPr>
            </w:r>
            <w:r>
              <w:rPr>
                <w:noProof/>
                <w:webHidden/>
              </w:rPr>
              <w:fldChar w:fldCharType="separate"/>
            </w:r>
            <w:r w:rsidR="00AD136C">
              <w:rPr>
                <w:noProof/>
                <w:webHidden/>
              </w:rPr>
              <w:t>40</w:t>
            </w:r>
            <w:r>
              <w:rPr>
                <w:noProof/>
                <w:webHidden/>
              </w:rPr>
              <w:fldChar w:fldCharType="end"/>
            </w:r>
          </w:hyperlink>
        </w:p>
        <w:p w:rsidR="00EA53FA" w:rsidRDefault="00135E52">
          <w:pPr>
            <w:pStyle w:val="Spistreci2"/>
            <w:tabs>
              <w:tab w:val="right" w:leader="dot" w:pos="9062"/>
            </w:tabs>
            <w:rPr>
              <w:rFonts w:cstheme="minorBidi"/>
              <w:noProof/>
            </w:rPr>
          </w:pPr>
          <w:hyperlink w:anchor="_Toc535233343" w:history="1">
            <w:r w:rsidR="00EA53FA" w:rsidRPr="00B71B4B">
              <w:rPr>
                <w:rStyle w:val="Hipercze"/>
                <w:noProof/>
              </w:rPr>
              <w:t>5.4 Inne zanieczyszczenia powietrza</w:t>
            </w:r>
            <w:r w:rsidR="00EA53FA">
              <w:rPr>
                <w:noProof/>
                <w:webHidden/>
              </w:rPr>
              <w:tab/>
            </w:r>
            <w:r>
              <w:rPr>
                <w:noProof/>
                <w:webHidden/>
              </w:rPr>
              <w:fldChar w:fldCharType="begin"/>
            </w:r>
            <w:r w:rsidR="00EA53FA">
              <w:rPr>
                <w:noProof/>
                <w:webHidden/>
              </w:rPr>
              <w:instrText xml:space="preserve"> PAGEREF _Toc535233343 \h </w:instrText>
            </w:r>
            <w:r>
              <w:rPr>
                <w:noProof/>
                <w:webHidden/>
              </w:rPr>
            </w:r>
            <w:r>
              <w:rPr>
                <w:noProof/>
                <w:webHidden/>
              </w:rPr>
              <w:fldChar w:fldCharType="separate"/>
            </w:r>
            <w:r w:rsidR="00AD136C">
              <w:rPr>
                <w:noProof/>
                <w:webHidden/>
              </w:rPr>
              <w:t>49</w:t>
            </w:r>
            <w:r>
              <w:rPr>
                <w:noProof/>
                <w:webHidden/>
              </w:rPr>
              <w:fldChar w:fldCharType="end"/>
            </w:r>
          </w:hyperlink>
        </w:p>
        <w:p w:rsidR="00EA53FA" w:rsidRDefault="00135E52">
          <w:pPr>
            <w:pStyle w:val="Spistreci2"/>
            <w:tabs>
              <w:tab w:val="right" w:leader="dot" w:pos="9062"/>
            </w:tabs>
            <w:rPr>
              <w:rFonts w:cstheme="minorBidi"/>
              <w:noProof/>
            </w:rPr>
          </w:pPr>
          <w:hyperlink w:anchor="_Toc535233344" w:history="1">
            <w:r w:rsidR="00EA53FA" w:rsidRPr="00B71B4B">
              <w:rPr>
                <w:rStyle w:val="Hipercze"/>
                <w:noProof/>
              </w:rPr>
              <w:t>5.5 Emisja zanieczyszczeń ze źródeł ciepła budynków mieszkalnych. Wyniki badań ankietowych.</w:t>
            </w:r>
            <w:r w:rsidR="00EA53FA">
              <w:rPr>
                <w:noProof/>
                <w:webHidden/>
              </w:rPr>
              <w:tab/>
            </w:r>
            <w:r>
              <w:rPr>
                <w:noProof/>
                <w:webHidden/>
              </w:rPr>
              <w:fldChar w:fldCharType="begin"/>
            </w:r>
            <w:r w:rsidR="00EA53FA">
              <w:rPr>
                <w:noProof/>
                <w:webHidden/>
              </w:rPr>
              <w:instrText xml:space="preserve"> PAGEREF _Toc535233344 \h </w:instrText>
            </w:r>
            <w:r>
              <w:rPr>
                <w:noProof/>
                <w:webHidden/>
              </w:rPr>
            </w:r>
            <w:r>
              <w:rPr>
                <w:noProof/>
                <w:webHidden/>
              </w:rPr>
              <w:fldChar w:fldCharType="separate"/>
            </w:r>
            <w:r w:rsidR="00AD136C">
              <w:rPr>
                <w:noProof/>
                <w:webHidden/>
              </w:rPr>
              <w:t>52</w:t>
            </w:r>
            <w:r>
              <w:rPr>
                <w:noProof/>
                <w:webHidden/>
              </w:rPr>
              <w:fldChar w:fldCharType="end"/>
            </w:r>
          </w:hyperlink>
        </w:p>
        <w:p w:rsidR="00EA53FA" w:rsidRDefault="00135E52">
          <w:pPr>
            <w:pStyle w:val="Spistreci1"/>
            <w:tabs>
              <w:tab w:val="right" w:leader="dot" w:pos="9062"/>
            </w:tabs>
            <w:rPr>
              <w:rFonts w:cstheme="minorBidi"/>
              <w:noProof/>
            </w:rPr>
          </w:pPr>
          <w:hyperlink w:anchor="_Toc535233345" w:history="1">
            <w:r w:rsidR="00EA53FA" w:rsidRPr="00B71B4B">
              <w:rPr>
                <w:rStyle w:val="Hipercze"/>
                <w:noProof/>
              </w:rPr>
              <w:t>6. ANALIZA TECHNICZNO-EKONOMICZNA PRZEDSIĘWZIĘĆ REDUKCJI EMISJI</w:t>
            </w:r>
            <w:r w:rsidR="00EA53FA">
              <w:rPr>
                <w:noProof/>
                <w:webHidden/>
              </w:rPr>
              <w:tab/>
            </w:r>
            <w:r>
              <w:rPr>
                <w:noProof/>
                <w:webHidden/>
              </w:rPr>
              <w:fldChar w:fldCharType="begin"/>
            </w:r>
            <w:r w:rsidR="00EA53FA">
              <w:rPr>
                <w:noProof/>
                <w:webHidden/>
              </w:rPr>
              <w:instrText xml:space="preserve"> PAGEREF _Toc535233345 \h </w:instrText>
            </w:r>
            <w:r>
              <w:rPr>
                <w:noProof/>
                <w:webHidden/>
              </w:rPr>
            </w:r>
            <w:r>
              <w:rPr>
                <w:noProof/>
                <w:webHidden/>
              </w:rPr>
              <w:fldChar w:fldCharType="separate"/>
            </w:r>
            <w:r w:rsidR="00AD136C">
              <w:rPr>
                <w:noProof/>
                <w:webHidden/>
              </w:rPr>
              <w:t>56</w:t>
            </w:r>
            <w:r>
              <w:rPr>
                <w:noProof/>
                <w:webHidden/>
              </w:rPr>
              <w:fldChar w:fldCharType="end"/>
            </w:r>
          </w:hyperlink>
        </w:p>
        <w:p w:rsidR="00EA53FA" w:rsidRDefault="00135E52">
          <w:pPr>
            <w:pStyle w:val="Spistreci2"/>
            <w:tabs>
              <w:tab w:val="right" w:leader="dot" w:pos="9062"/>
            </w:tabs>
            <w:rPr>
              <w:rFonts w:cstheme="minorBidi"/>
              <w:noProof/>
            </w:rPr>
          </w:pPr>
          <w:hyperlink w:anchor="_Toc535233346" w:history="1">
            <w:r w:rsidR="00EA53FA" w:rsidRPr="00B71B4B">
              <w:rPr>
                <w:rStyle w:val="Hipercze"/>
                <w:noProof/>
              </w:rPr>
              <w:t>6.1 Zakres analizowanych przedsięwzięć</w:t>
            </w:r>
            <w:r w:rsidR="00EA53FA">
              <w:rPr>
                <w:noProof/>
                <w:webHidden/>
              </w:rPr>
              <w:tab/>
            </w:r>
            <w:r>
              <w:rPr>
                <w:noProof/>
                <w:webHidden/>
              </w:rPr>
              <w:fldChar w:fldCharType="begin"/>
            </w:r>
            <w:r w:rsidR="00EA53FA">
              <w:rPr>
                <w:noProof/>
                <w:webHidden/>
              </w:rPr>
              <w:instrText xml:space="preserve"> PAGEREF _Toc535233346 \h </w:instrText>
            </w:r>
            <w:r>
              <w:rPr>
                <w:noProof/>
                <w:webHidden/>
              </w:rPr>
            </w:r>
            <w:r>
              <w:rPr>
                <w:noProof/>
                <w:webHidden/>
              </w:rPr>
              <w:fldChar w:fldCharType="separate"/>
            </w:r>
            <w:r w:rsidR="00AD136C">
              <w:rPr>
                <w:noProof/>
                <w:webHidden/>
              </w:rPr>
              <w:t>56</w:t>
            </w:r>
            <w:r>
              <w:rPr>
                <w:noProof/>
                <w:webHidden/>
              </w:rPr>
              <w:fldChar w:fldCharType="end"/>
            </w:r>
          </w:hyperlink>
        </w:p>
        <w:p w:rsidR="00EA53FA" w:rsidRDefault="00135E52">
          <w:pPr>
            <w:pStyle w:val="Spistreci2"/>
            <w:tabs>
              <w:tab w:val="right" w:leader="dot" w:pos="9062"/>
            </w:tabs>
            <w:rPr>
              <w:rFonts w:cstheme="minorBidi"/>
              <w:noProof/>
            </w:rPr>
          </w:pPr>
          <w:hyperlink w:anchor="_Toc535233347" w:history="1">
            <w:r w:rsidR="00EA53FA" w:rsidRPr="00B71B4B">
              <w:rPr>
                <w:rStyle w:val="Hipercze"/>
                <w:noProof/>
              </w:rPr>
              <w:t>6.2 Dostępne sieciowe nośniki energii</w:t>
            </w:r>
            <w:r w:rsidR="00EA53FA">
              <w:rPr>
                <w:noProof/>
                <w:webHidden/>
              </w:rPr>
              <w:tab/>
            </w:r>
            <w:r>
              <w:rPr>
                <w:noProof/>
                <w:webHidden/>
              </w:rPr>
              <w:fldChar w:fldCharType="begin"/>
            </w:r>
            <w:r w:rsidR="00EA53FA">
              <w:rPr>
                <w:noProof/>
                <w:webHidden/>
              </w:rPr>
              <w:instrText xml:space="preserve"> PAGEREF _Toc535233347 \h </w:instrText>
            </w:r>
            <w:r>
              <w:rPr>
                <w:noProof/>
                <w:webHidden/>
              </w:rPr>
            </w:r>
            <w:r>
              <w:rPr>
                <w:noProof/>
                <w:webHidden/>
              </w:rPr>
              <w:fldChar w:fldCharType="separate"/>
            </w:r>
            <w:r w:rsidR="00AD136C">
              <w:rPr>
                <w:noProof/>
                <w:webHidden/>
              </w:rPr>
              <w:t>62</w:t>
            </w:r>
            <w:r>
              <w:rPr>
                <w:noProof/>
                <w:webHidden/>
              </w:rPr>
              <w:fldChar w:fldCharType="end"/>
            </w:r>
          </w:hyperlink>
        </w:p>
        <w:p w:rsidR="00EA53FA" w:rsidRDefault="00135E52">
          <w:pPr>
            <w:pStyle w:val="Spistreci2"/>
            <w:tabs>
              <w:tab w:val="right" w:leader="dot" w:pos="9062"/>
            </w:tabs>
            <w:rPr>
              <w:rFonts w:cstheme="minorBidi"/>
              <w:noProof/>
            </w:rPr>
          </w:pPr>
          <w:hyperlink w:anchor="_Toc535233348" w:history="1">
            <w:r w:rsidR="00EA53FA" w:rsidRPr="00B71B4B">
              <w:rPr>
                <w:rStyle w:val="Hipercze"/>
                <w:noProof/>
              </w:rPr>
              <w:t>6.3Termomodernizacja instalacji wewnętrznych i „skorupy” budynku</w:t>
            </w:r>
            <w:r w:rsidR="00EA53FA">
              <w:rPr>
                <w:noProof/>
                <w:webHidden/>
              </w:rPr>
              <w:tab/>
            </w:r>
            <w:r>
              <w:rPr>
                <w:noProof/>
                <w:webHidden/>
              </w:rPr>
              <w:fldChar w:fldCharType="begin"/>
            </w:r>
            <w:r w:rsidR="00EA53FA">
              <w:rPr>
                <w:noProof/>
                <w:webHidden/>
              </w:rPr>
              <w:instrText xml:space="preserve"> PAGEREF _Toc535233348 \h </w:instrText>
            </w:r>
            <w:r>
              <w:rPr>
                <w:noProof/>
                <w:webHidden/>
              </w:rPr>
            </w:r>
            <w:r>
              <w:rPr>
                <w:noProof/>
                <w:webHidden/>
              </w:rPr>
              <w:fldChar w:fldCharType="separate"/>
            </w:r>
            <w:r w:rsidR="00AD136C">
              <w:rPr>
                <w:noProof/>
                <w:webHidden/>
              </w:rPr>
              <w:t>64</w:t>
            </w:r>
            <w:r>
              <w:rPr>
                <w:noProof/>
                <w:webHidden/>
              </w:rPr>
              <w:fldChar w:fldCharType="end"/>
            </w:r>
          </w:hyperlink>
        </w:p>
        <w:p w:rsidR="00EA53FA" w:rsidRDefault="00135E52">
          <w:pPr>
            <w:pStyle w:val="Spistreci2"/>
            <w:tabs>
              <w:tab w:val="right" w:leader="dot" w:pos="9062"/>
            </w:tabs>
            <w:rPr>
              <w:rFonts w:cstheme="minorBidi"/>
              <w:noProof/>
            </w:rPr>
          </w:pPr>
          <w:hyperlink w:anchor="_Toc535233349" w:history="1">
            <w:r w:rsidR="00EA53FA" w:rsidRPr="00B71B4B">
              <w:rPr>
                <w:rStyle w:val="Hipercze"/>
                <w:noProof/>
              </w:rPr>
              <w:t>6.4 Efekt rzeczowy PONE</w:t>
            </w:r>
            <w:r w:rsidR="00EA53FA">
              <w:rPr>
                <w:noProof/>
                <w:webHidden/>
              </w:rPr>
              <w:tab/>
            </w:r>
            <w:r>
              <w:rPr>
                <w:noProof/>
                <w:webHidden/>
              </w:rPr>
              <w:fldChar w:fldCharType="begin"/>
            </w:r>
            <w:r w:rsidR="00EA53FA">
              <w:rPr>
                <w:noProof/>
                <w:webHidden/>
              </w:rPr>
              <w:instrText xml:space="preserve"> PAGEREF _Toc535233349 \h </w:instrText>
            </w:r>
            <w:r>
              <w:rPr>
                <w:noProof/>
                <w:webHidden/>
              </w:rPr>
            </w:r>
            <w:r>
              <w:rPr>
                <w:noProof/>
                <w:webHidden/>
              </w:rPr>
              <w:fldChar w:fldCharType="separate"/>
            </w:r>
            <w:r w:rsidR="00AD136C">
              <w:rPr>
                <w:noProof/>
                <w:webHidden/>
              </w:rPr>
              <w:t>65</w:t>
            </w:r>
            <w:r>
              <w:rPr>
                <w:noProof/>
                <w:webHidden/>
              </w:rPr>
              <w:fldChar w:fldCharType="end"/>
            </w:r>
          </w:hyperlink>
        </w:p>
        <w:p w:rsidR="00EA53FA" w:rsidRDefault="00135E52">
          <w:pPr>
            <w:pStyle w:val="Spistreci2"/>
            <w:tabs>
              <w:tab w:val="right" w:leader="dot" w:pos="9062"/>
            </w:tabs>
            <w:rPr>
              <w:rFonts w:cstheme="minorBidi"/>
              <w:noProof/>
            </w:rPr>
          </w:pPr>
          <w:hyperlink w:anchor="_Toc535233350" w:history="1">
            <w:r w:rsidR="00EA53FA" w:rsidRPr="00B71B4B">
              <w:rPr>
                <w:rStyle w:val="Hipercze"/>
                <w:noProof/>
              </w:rPr>
              <w:t>6.5 Charakterystyka ekologiczna PONE</w:t>
            </w:r>
            <w:r w:rsidR="00EA53FA">
              <w:rPr>
                <w:noProof/>
                <w:webHidden/>
              </w:rPr>
              <w:tab/>
            </w:r>
            <w:r>
              <w:rPr>
                <w:noProof/>
                <w:webHidden/>
              </w:rPr>
              <w:fldChar w:fldCharType="begin"/>
            </w:r>
            <w:r w:rsidR="00EA53FA">
              <w:rPr>
                <w:noProof/>
                <w:webHidden/>
              </w:rPr>
              <w:instrText xml:space="preserve"> PAGEREF _Toc535233350 \h </w:instrText>
            </w:r>
            <w:r>
              <w:rPr>
                <w:noProof/>
                <w:webHidden/>
              </w:rPr>
            </w:r>
            <w:r>
              <w:rPr>
                <w:noProof/>
                <w:webHidden/>
              </w:rPr>
              <w:fldChar w:fldCharType="separate"/>
            </w:r>
            <w:r w:rsidR="00AD136C">
              <w:rPr>
                <w:noProof/>
                <w:webHidden/>
              </w:rPr>
              <w:t>67</w:t>
            </w:r>
            <w:r>
              <w:rPr>
                <w:noProof/>
                <w:webHidden/>
              </w:rPr>
              <w:fldChar w:fldCharType="end"/>
            </w:r>
          </w:hyperlink>
        </w:p>
        <w:p w:rsidR="00EA53FA" w:rsidRDefault="00135E52">
          <w:pPr>
            <w:pStyle w:val="Spistreci2"/>
            <w:tabs>
              <w:tab w:val="right" w:leader="dot" w:pos="9062"/>
            </w:tabs>
            <w:rPr>
              <w:rFonts w:cstheme="minorBidi"/>
              <w:noProof/>
            </w:rPr>
          </w:pPr>
          <w:hyperlink w:anchor="_Toc535233351" w:history="1">
            <w:r w:rsidR="00EA53FA" w:rsidRPr="00B71B4B">
              <w:rPr>
                <w:rStyle w:val="Hipercze"/>
                <w:noProof/>
              </w:rPr>
              <w:t>6.6 Wskaźniki emisji zanieczyszczeń</w:t>
            </w:r>
            <w:r w:rsidR="00EA53FA">
              <w:rPr>
                <w:noProof/>
                <w:webHidden/>
              </w:rPr>
              <w:tab/>
            </w:r>
            <w:r>
              <w:rPr>
                <w:noProof/>
                <w:webHidden/>
              </w:rPr>
              <w:fldChar w:fldCharType="begin"/>
            </w:r>
            <w:r w:rsidR="00EA53FA">
              <w:rPr>
                <w:noProof/>
                <w:webHidden/>
              </w:rPr>
              <w:instrText xml:space="preserve"> PAGEREF _Toc535233351 \h </w:instrText>
            </w:r>
            <w:r>
              <w:rPr>
                <w:noProof/>
                <w:webHidden/>
              </w:rPr>
            </w:r>
            <w:r>
              <w:rPr>
                <w:noProof/>
                <w:webHidden/>
              </w:rPr>
              <w:fldChar w:fldCharType="separate"/>
            </w:r>
            <w:r w:rsidR="00AD136C">
              <w:rPr>
                <w:noProof/>
                <w:webHidden/>
              </w:rPr>
              <w:t>67</w:t>
            </w:r>
            <w:r>
              <w:rPr>
                <w:noProof/>
                <w:webHidden/>
              </w:rPr>
              <w:fldChar w:fldCharType="end"/>
            </w:r>
          </w:hyperlink>
        </w:p>
        <w:p w:rsidR="00EA53FA" w:rsidRDefault="00135E52">
          <w:pPr>
            <w:pStyle w:val="Spistreci3"/>
            <w:tabs>
              <w:tab w:val="right" w:leader="dot" w:pos="9062"/>
            </w:tabs>
            <w:rPr>
              <w:rFonts w:cstheme="minorBidi"/>
              <w:noProof/>
            </w:rPr>
          </w:pPr>
          <w:hyperlink w:anchor="_Toc535233352" w:history="1">
            <w:r w:rsidR="00EA53FA" w:rsidRPr="00B71B4B">
              <w:rPr>
                <w:rStyle w:val="Hipercze"/>
                <w:noProof/>
              </w:rPr>
              <w:t>6.6.1 Efekt ekologiczny</w:t>
            </w:r>
            <w:r w:rsidR="00EA53FA">
              <w:rPr>
                <w:noProof/>
                <w:webHidden/>
              </w:rPr>
              <w:tab/>
            </w:r>
            <w:r>
              <w:rPr>
                <w:noProof/>
                <w:webHidden/>
              </w:rPr>
              <w:fldChar w:fldCharType="begin"/>
            </w:r>
            <w:r w:rsidR="00EA53FA">
              <w:rPr>
                <w:noProof/>
                <w:webHidden/>
              </w:rPr>
              <w:instrText xml:space="preserve"> PAGEREF _Toc535233352 \h </w:instrText>
            </w:r>
            <w:r>
              <w:rPr>
                <w:noProof/>
                <w:webHidden/>
              </w:rPr>
            </w:r>
            <w:r>
              <w:rPr>
                <w:noProof/>
                <w:webHidden/>
              </w:rPr>
              <w:fldChar w:fldCharType="separate"/>
            </w:r>
            <w:r w:rsidR="00AD136C">
              <w:rPr>
                <w:noProof/>
                <w:webHidden/>
              </w:rPr>
              <w:t>69</w:t>
            </w:r>
            <w:r>
              <w:rPr>
                <w:noProof/>
                <w:webHidden/>
              </w:rPr>
              <w:fldChar w:fldCharType="end"/>
            </w:r>
          </w:hyperlink>
        </w:p>
        <w:p w:rsidR="00EA53FA" w:rsidRDefault="00135E52">
          <w:pPr>
            <w:pStyle w:val="Spistreci3"/>
            <w:tabs>
              <w:tab w:val="right" w:leader="dot" w:pos="9062"/>
            </w:tabs>
            <w:rPr>
              <w:rFonts w:cstheme="minorBidi"/>
              <w:noProof/>
            </w:rPr>
          </w:pPr>
          <w:hyperlink w:anchor="_Toc535233353" w:history="1">
            <w:r w:rsidR="00EA53FA" w:rsidRPr="00B71B4B">
              <w:rPr>
                <w:rStyle w:val="Hipercze"/>
                <w:noProof/>
              </w:rPr>
              <w:t>6.6.2 Efekt energetyczny</w:t>
            </w:r>
            <w:r w:rsidR="00EA53FA">
              <w:rPr>
                <w:noProof/>
                <w:webHidden/>
              </w:rPr>
              <w:tab/>
            </w:r>
            <w:r>
              <w:rPr>
                <w:noProof/>
                <w:webHidden/>
              </w:rPr>
              <w:fldChar w:fldCharType="begin"/>
            </w:r>
            <w:r w:rsidR="00EA53FA">
              <w:rPr>
                <w:noProof/>
                <w:webHidden/>
              </w:rPr>
              <w:instrText xml:space="preserve"> PAGEREF _Toc535233353 \h </w:instrText>
            </w:r>
            <w:r>
              <w:rPr>
                <w:noProof/>
                <w:webHidden/>
              </w:rPr>
            </w:r>
            <w:r>
              <w:rPr>
                <w:noProof/>
                <w:webHidden/>
              </w:rPr>
              <w:fldChar w:fldCharType="separate"/>
            </w:r>
            <w:r w:rsidR="00AD136C">
              <w:rPr>
                <w:noProof/>
                <w:webHidden/>
              </w:rPr>
              <w:t>71</w:t>
            </w:r>
            <w:r>
              <w:rPr>
                <w:noProof/>
                <w:webHidden/>
              </w:rPr>
              <w:fldChar w:fldCharType="end"/>
            </w:r>
          </w:hyperlink>
        </w:p>
        <w:p w:rsidR="00EA53FA" w:rsidRDefault="00135E52">
          <w:pPr>
            <w:pStyle w:val="Spistreci2"/>
            <w:tabs>
              <w:tab w:val="right" w:leader="dot" w:pos="9062"/>
            </w:tabs>
            <w:rPr>
              <w:rFonts w:cstheme="minorBidi"/>
              <w:noProof/>
            </w:rPr>
          </w:pPr>
          <w:hyperlink w:anchor="_Toc535233354" w:history="1">
            <w:r w:rsidR="00EA53FA" w:rsidRPr="00B71B4B">
              <w:rPr>
                <w:rStyle w:val="Hipercze"/>
                <w:noProof/>
              </w:rPr>
              <w:t>6.7 Inne działania wpływające na poprawę stanu powietrza atmosferycznego</w:t>
            </w:r>
            <w:r w:rsidR="00EA53FA">
              <w:rPr>
                <w:noProof/>
                <w:webHidden/>
              </w:rPr>
              <w:tab/>
            </w:r>
            <w:r>
              <w:rPr>
                <w:noProof/>
                <w:webHidden/>
              </w:rPr>
              <w:fldChar w:fldCharType="begin"/>
            </w:r>
            <w:r w:rsidR="00EA53FA">
              <w:rPr>
                <w:noProof/>
                <w:webHidden/>
              </w:rPr>
              <w:instrText xml:space="preserve"> PAGEREF _Toc535233354 \h </w:instrText>
            </w:r>
            <w:r>
              <w:rPr>
                <w:noProof/>
                <w:webHidden/>
              </w:rPr>
            </w:r>
            <w:r>
              <w:rPr>
                <w:noProof/>
                <w:webHidden/>
              </w:rPr>
              <w:fldChar w:fldCharType="separate"/>
            </w:r>
            <w:r w:rsidR="00AD136C">
              <w:rPr>
                <w:noProof/>
                <w:webHidden/>
              </w:rPr>
              <w:t>74</w:t>
            </w:r>
            <w:r>
              <w:rPr>
                <w:noProof/>
                <w:webHidden/>
              </w:rPr>
              <w:fldChar w:fldCharType="end"/>
            </w:r>
          </w:hyperlink>
        </w:p>
        <w:p w:rsidR="00EA53FA" w:rsidRDefault="00135E52">
          <w:pPr>
            <w:pStyle w:val="Spistreci1"/>
            <w:tabs>
              <w:tab w:val="right" w:leader="dot" w:pos="9062"/>
            </w:tabs>
            <w:rPr>
              <w:rFonts w:cstheme="minorBidi"/>
              <w:noProof/>
            </w:rPr>
          </w:pPr>
          <w:hyperlink w:anchor="_Toc535233355" w:history="1">
            <w:r w:rsidR="00EA53FA" w:rsidRPr="00B71B4B">
              <w:rPr>
                <w:rStyle w:val="Hipercze"/>
                <w:noProof/>
              </w:rPr>
              <w:t>7. Zarządzanie i realizacja PONE</w:t>
            </w:r>
            <w:r w:rsidR="00EA53FA">
              <w:rPr>
                <w:noProof/>
                <w:webHidden/>
              </w:rPr>
              <w:tab/>
            </w:r>
            <w:r>
              <w:rPr>
                <w:noProof/>
                <w:webHidden/>
              </w:rPr>
              <w:fldChar w:fldCharType="begin"/>
            </w:r>
            <w:r w:rsidR="00EA53FA">
              <w:rPr>
                <w:noProof/>
                <w:webHidden/>
              </w:rPr>
              <w:instrText xml:space="preserve"> PAGEREF _Toc535233355 \h </w:instrText>
            </w:r>
            <w:r>
              <w:rPr>
                <w:noProof/>
                <w:webHidden/>
              </w:rPr>
            </w:r>
            <w:r>
              <w:rPr>
                <w:noProof/>
                <w:webHidden/>
              </w:rPr>
              <w:fldChar w:fldCharType="separate"/>
            </w:r>
            <w:r w:rsidR="00AD136C">
              <w:rPr>
                <w:noProof/>
                <w:webHidden/>
              </w:rPr>
              <w:t>76</w:t>
            </w:r>
            <w:r>
              <w:rPr>
                <w:noProof/>
                <w:webHidden/>
              </w:rPr>
              <w:fldChar w:fldCharType="end"/>
            </w:r>
          </w:hyperlink>
        </w:p>
        <w:p w:rsidR="00EA53FA" w:rsidRDefault="00135E52">
          <w:pPr>
            <w:pStyle w:val="Spistreci2"/>
            <w:tabs>
              <w:tab w:val="right" w:leader="dot" w:pos="9062"/>
            </w:tabs>
            <w:rPr>
              <w:rFonts w:cstheme="minorBidi"/>
              <w:noProof/>
            </w:rPr>
          </w:pPr>
          <w:hyperlink w:anchor="_Toc535233356" w:history="1">
            <w:r w:rsidR="00EA53FA" w:rsidRPr="00B71B4B">
              <w:rPr>
                <w:rStyle w:val="Hipercze"/>
                <w:noProof/>
              </w:rPr>
              <w:t>7.1 Beneficjenci i Operator Programu</w:t>
            </w:r>
            <w:r w:rsidR="00EA53FA">
              <w:rPr>
                <w:noProof/>
                <w:webHidden/>
              </w:rPr>
              <w:tab/>
            </w:r>
            <w:r>
              <w:rPr>
                <w:noProof/>
                <w:webHidden/>
              </w:rPr>
              <w:fldChar w:fldCharType="begin"/>
            </w:r>
            <w:r w:rsidR="00EA53FA">
              <w:rPr>
                <w:noProof/>
                <w:webHidden/>
              </w:rPr>
              <w:instrText xml:space="preserve"> PAGEREF _Toc535233356 \h </w:instrText>
            </w:r>
            <w:r>
              <w:rPr>
                <w:noProof/>
                <w:webHidden/>
              </w:rPr>
            </w:r>
            <w:r>
              <w:rPr>
                <w:noProof/>
                <w:webHidden/>
              </w:rPr>
              <w:fldChar w:fldCharType="separate"/>
            </w:r>
            <w:r w:rsidR="00AD136C">
              <w:rPr>
                <w:noProof/>
                <w:webHidden/>
              </w:rPr>
              <w:t>76</w:t>
            </w:r>
            <w:r>
              <w:rPr>
                <w:noProof/>
                <w:webHidden/>
              </w:rPr>
              <w:fldChar w:fldCharType="end"/>
            </w:r>
          </w:hyperlink>
        </w:p>
        <w:p w:rsidR="00EA53FA" w:rsidRDefault="00135E52">
          <w:pPr>
            <w:pStyle w:val="Spistreci2"/>
            <w:tabs>
              <w:tab w:val="right" w:leader="dot" w:pos="9062"/>
            </w:tabs>
            <w:rPr>
              <w:rFonts w:cstheme="minorBidi"/>
              <w:noProof/>
            </w:rPr>
          </w:pPr>
          <w:hyperlink w:anchor="_Toc535233357" w:history="1">
            <w:r w:rsidR="00EA53FA" w:rsidRPr="00B71B4B">
              <w:rPr>
                <w:rStyle w:val="Hipercze"/>
                <w:noProof/>
              </w:rPr>
              <w:t>7.2 Zasady kwalifikacji udziału w programie</w:t>
            </w:r>
            <w:r w:rsidR="00EA53FA">
              <w:rPr>
                <w:noProof/>
                <w:webHidden/>
              </w:rPr>
              <w:tab/>
            </w:r>
            <w:r>
              <w:rPr>
                <w:noProof/>
                <w:webHidden/>
              </w:rPr>
              <w:fldChar w:fldCharType="begin"/>
            </w:r>
            <w:r w:rsidR="00EA53FA">
              <w:rPr>
                <w:noProof/>
                <w:webHidden/>
              </w:rPr>
              <w:instrText xml:space="preserve"> PAGEREF _Toc535233357 \h </w:instrText>
            </w:r>
            <w:r>
              <w:rPr>
                <w:noProof/>
                <w:webHidden/>
              </w:rPr>
            </w:r>
            <w:r>
              <w:rPr>
                <w:noProof/>
                <w:webHidden/>
              </w:rPr>
              <w:fldChar w:fldCharType="separate"/>
            </w:r>
            <w:r w:rsidR="00AD136C">
              <w:rPr>
                <w:noProof/>
                <w:webHidden/>
              </w:rPr>
              <w:t>77</w:t>
            </w:r>
            <w:r>
              <w:rPr>
                <w:noProof/>
                <w:webHidden/>
              </w:rPr>
              <w:fldChar w:fldCharType="end"/>
            </w:r>
          </w:hyperlink>
        </w:p>
        <w:p w:rsidR="00EA53FA" w:rsidRDefault="00135E52">
          <w:pPr>
            <w:pStyle w:val="Spistreci2"/>
            <w:tabs>
              <w:tab w:val="right" w:leader="dot" w:pos="9062"/>
            </w:tabs>
            <w:rPr>
              <w:rFonts w:cstheme="minorBidi"/>
              <w:noProof/>
            </w:rPr>
          </w:pPr>
          <w:hyperlink w:anchor="_Toc535233358" w:history="1">
            <w:r w:rsidR="00EA53FA" w:rsidRPr="00B71B4B">
              <w:rPr>
                <w:rStyle w:val="Hipercze"/>
                <w:noProof/>
              </w:rPr>
              <w:t>7.3 Harmonogram rzeczowo-finansowy</w:t>
            </w:r>
            <w:r w:rsidR="00EA53FA">
              <w:rPr>
                <w:noProof/>
                <w:webHidden/>
              </w:rPr>
              <w:tab/>
            </w:r>
            <w:r>
              <w:rPr>
                <w:noProof/>
                <w:webHidden/>
              </w:rPr>
              <w:fldChar w:fldCharType="begin"/>
            </w:r>
            <w:r w:rsidR="00EA53FA">
              <w:rPr>
                <w:noProof/>
                <w:webHidden/>
              </w:rPr>
              <w:instrText xml:space="preserve"> PAGEREF _Toc535233358 \h </w:instrText>
            </w:r>
            <w:r>
              <w:rPr>
                <w:noProof/>
                <w:webHidden/>
              </w:rPr>
            </w:r>
            <w:r>
              <w:rPr>
                <w:noProof/>
                <w:webHidden/>
              </w:rPr>
              <w:fldChar w:fldCharType="separate"/>
            </w:r>
            <w:r w:rsidR="00AD136C">
              <w:rPr>
                <w:noProof/>
                <w:webHidden/>
              </w:rPr>
              <w:t>78</w:t>
            </w:r>
            <w:r>
              <w:rPr>
                <w:noProof/>
                <w:webHidden/>
              </w:rPr>
              <w:fldChar w:fldCharType="end"/>
            </w:r>
          </w:hyperlink>
        </w:p>
        <w:p w:rsidR="00EA53FA" w:rsidRDefault="00135E52">
          <w:pPr>
            <w:pStyle w:val="Spistreci1"/>
            <w:tabs>
              <w:tab w:val="right" w:leader="dot" w:pos="9062"/>
            </w:tabs>
            <w:rPr>
              <w:rFonts w:cstheme="minorBidi"/>
              <w:noProof/>
            </w:rPr>
          </w:pPr>
          <w:hyperlink w:anchor="_Toc535233359" w:history="1">
            <w:r w:rsidR="00EA53FA" w:rsidRPr="00B71B4B">
              <w:rPr>
                <w:rStyle w:val="Hipercze"/>
                <w:noProof/>
              </w:rPr>
              <w:t>8. MONITORING I EWALUACJA PONE</w:t>
            </w:r>
            <w:r w:rsidR="00EA53FA">
              <w:rPr>
                <w:noProof/>
                <w:webHidden/>
              </w:rPr>
              <w:tab/>
            </w:r>
            <w:r>
              <w:rPr>
                <w:noProof/>
                <w:webHidden/>
              </w:rPr>
              <w:fldChar w:fldCharType="begin"/>
            </w:r>
            <w:r w:rsidR="00EA53FA">
              <w:rPr>
                <w:noProof/>
                <w:webHidden/>
              </w:rPr>
              <w:instrText xml:space="preserve"> PAGEREF _Toc535233359 \h </w:instrText>
            </w:r>
            <w:r>
              <w:rPr>
                <w:noProof/>
                <w:webHidden/>
              </w:rPr>
            </w:r>
            <w:r>
              <w:rPr>
                <w:noProof/>
                <w:webHidden/>
              </w:rPr>
              <w:fldChar w:fldCharType="separate"/>
            </w:r>
            <w:r w:rsidR="00AD136C">
              <w:rPr>
                <w:noProof/>
                <w:webHidden/>
              </w:rPr>
              <w:t>89</w:t>
            </w:r>
            <w:r>
              <w:rPr>
                <w:noProof/>
                <w:webHidden/>
              </w:rPr>
              <w:fldChar w:fldCharType="end"/>
            </w:r>
          </w:hyperlink>
        </w:p>
        <w:p w:rsidR="00EA53FA" w:rsidRDefault="00135E52">
          <w:pPr>
            <w:pStyle w:val="Spistreci1"/>
            <w:tabs>
              <w:tab w:val="right" w:leader="dot" w:pos="9062"/>
            </w:tabs>
            <w:rPr>
              <w:rFonts w:cstheme="minorBidi"/>
              <w:noProof/>
            </w:rPr>
          </w:pPr>
          <w:hyperlink w:anchor="_Toc535233360" w:history="1">
            <w:r w:rsidR="00EA53FA" w:rsidRPr="00B71B4B">
              <w:rPr>
                <w:rStyle w:val="Hipercze"/>
                <w:noProof/>
              </w:rPr>
              <w:t>9. ŹRÓDŁA FINANSOWANIA ZADAŃ</w:t>
            </w:r>
            <w:r w:rsidR="00EA53FA">
              <w:rPr>
                <w:noProof/>
                <w:webHidden/>
              </w:rPr>
              <w:tab/>
            </w:r>
            <w:r>
              <w:rPr>
                <w:noProof/>
                <w:webHidden/>
              </w:rPr>
              <w:fldChar w:fldCharType="begin"/>
            </w:r>
            <w:r w:rsidR="00EA53FA">
              <w:rPr>
                <w:noProof/>
                <w:webHidden/>
              </w:rPr>
              <w:instrText xml:space="preserve"> PAGEREF _Toc535233360 \h </w:instrText>
            </w:r>
            <w:r>
              <w:rPr>
                <w:noProof/>
                <w:webHidden/>
              </w:rPr>
            </w:r>
            <w:r>
              <w:rPr>
                <w:noProof/>
                <w:webHidden/>
              </w:rPr>
              <w:fldChar w:fldCharType="separate"/>
            </w:r>
            <w:r w:rsidR="00AD136C">
              <w:rPr>
                <w:noProof/>
                <w:webHidden/>
              </w:rPr>
              <w:t>80</w:t>
            </w:r>
            <w:r>
              <w:rPr>
                <w:noProof/>
                <w:webHidden/>
              </w:rPr>
              <w:fldChar w:fldCharType="end"/>
            </w:r>
          </w:hyperlink>
        </w:p>
        <w:p w:rsidR="00EA53FA" w:rsidRDefault="00135E52">
          <w:pPr>
            <w:pStyle w:val="Spistreci2"/>
            <w:tabs>
              <w:tab w:val="right" w:leader="dot" w:pos="9062"/>
            </w:tabs>
            <w:rPr>
              <w:rFonts w:cstheme="minorBidi"/>
              <w:noProof/>
            </w:rPr>
          </w:pPr>
          <w:hyperlink w:anchor="_Toc535233361" w:history="1">
            <w:r w:rsidR="00EA53FA" w:rsidRPr="00B71B4B">
              <w:rPr>
                <w:rStyle w:val="Hipercze"/>
                <w:noProof/>
              </w:rPr>
              <w:t>9.1 Środki własne Miasta Mława</w:t>
            </w:r>
            <w:r w:rsidR="00EA53FA">
              <w:rPr>
                <w:noProof/>
                <w:webHidden/>
              </w:rPr>
              <w:tab/>
            </w:r>
            <w:r>
              <w:rPr>
                <w:noProof/>
                <w:webHidden/>
              </w:rPr>
              <w:fldChar w:fldCharType="begin"/>
            </w:r>
            <w:r w:rsidR="00EA53FA">
              <w:rPr>
                <w:noProof/>
                <w:webHidden/>
              </w:rPr>
              <w:instrText xml:space="preserve"> PAGEREF _Toc535233361 \h </w:instrText>
            </w:r>
            <w:r>
              <w:rPr>
                <w:noProof/>
                <w:webHidden/>
              </w:rPr>
            </w:r>
            <w:r>
              <w:rPr>
                <w:noProof/>
                <w:webHidden/>
              </w:rPr>
              <w:fldChar w:fldCharType="separate"/>
            </w:r>
            <w:r w:rsidR="00AD136C">
              <w:rPr>
                <w:noProof/>
                <w:webHidden/>
              </w:rPr>
              <w:t>80</w:t>
            </w:r>
            <w:r>
              <w:rPr>
                <w:noProof/>
                <w:webHidden/>
              </w:rPr>
              <w:fldChar w:fldCharType="end"/>
            </w:r>
          </w:hyperlink>
        </w:p>
        <w:p w:rsidR="00EA53FA" w:rsidRDefault="00135E52">
          <w:pPr>
            <w:pStyle w:val="Spistreci2"/>
            <w:tabs>
              <w:tab w:val="right" w:leader="dot" w:pos="9062"/>
            </w:tabs>
            <w:rPr>
              <w:rFonts w:cstheme="minorBidi"/>
              <w:noProof/>
            </w:rPr>
          </w:pPr>
          <w:hyperlink w:anchor="_Toc535233362" w:history="1">
            <w:r w:rsidR="00EA53FA" w:rsidRPr="00B71B4B">
              <w:rPr>
                <w:rStyle w:val="Hipercze"/>
                <w:noProof/>
              </w:rPr>
              <w:t>9.1 Środki zewnętrzne</w:t>
            </w:r>
            <w:r w:rsidR="00EA53FA">
              <w:rPr>
                <w:noProof/>
                <w:webHidden/>
              </w:rPr>
              <w:tab/>
            </w:r>
            <w:r>
              <w:rPr>
                <w:noProof/>
                <w:webHidden/>
              </w:rPr>
              <w:fldChar w:fldCharType="begin"/>
            </w:r>
            <w:r w:rsidR="00EA53FA">
              <w:rPr>
                <w:noProof/>
                <w:webHidden/>
              </w:rPr>
              <w:instrText xml:space="preserve"> PAGEREF _Toc535233362 \h </w:instrText>
            </w:r>
            <w:r>
              <w:rPr>
                <w:noProof/>
                <w:webHidden/>
              </w:rPr>
            </w:r>
            <w:r>
              <w:rPr>
                <w:noProof/>
                <w:webHidden/>
              </w:rPr>
              <w:fldChar w:fldCharType="separate"/>
            </w:r>
            <w:r w:rsidR="00AD136C">
              <w:rPr>
                <w:noProof/>
                <w:webHidden/>
              </w:rPr>
              <w:t>83</w:t>
            </w:r>
            <w:r>
              <w:rPr>
                <w:noProof/>
                <w:webHidden/>
              </w:rPr>
              <w:fldChar w:fldCharType="end"/>
            </w:r>
          </w:hyperlink>
        </w:p>
        <w:p w:rsidR="00EA53FA" w:rsidRDefault="00135E52">
          <w:pPr>
            <w:pStyle w:val="Spistreci1"/>
            <w:tabs>
              <w:tab w:val="right" w:leader="dot" w:pos="9062"/>
            </w:tabs>
            <w:rPr>
              <w:rFonts w:cstheme="minorBidi"/>
              <w:noProof/>
            </w:rPr>
          </w:pPr>
          <w:hyperlink w:anchor="_Toc535233363" w:history="1">
            <w:r w:rsidR="00EA53FA" w:rsidRPr="00B71B4B">
              <w:rPr>
                <w:rStyle w:val="Hipercze"/>
                <w:noProof/>
              </w:rPr>
              <w:t>10. Podsumowanie</w:t>
            </w:r>
            <w:r w:rsidR="00EA53FA">
              <w:rPr>
                <w:noProof/>
                <w:webHidden/>
              </w:rPr>
              <w:tab/>
            </w:r>
            <w:r>
              <w:rPr>
                <w:noProof/>
                <w:webHidden/>
              </w:rPr>
              <w:fldChar w:fldCharType="begin"/>
            </w:r>
            <w:r w:rsidR="00EA53FA">
              <w:rPr>
                <w:noProof/>
                <w:webHidden/>
              </w:rPr>
              <w:instrText xml:space="preserve"> PAGEREF _Toc535233363 \h </w:instrText>
            </w:r>
            <w:r>
              <w:rPr>
                <w:noProof/>
                <w:webHidden/>
              </w:rPr>
            </w:r>
            <w:r>
              <w:rPr>
                <w:noProof/>
                <w:webHidden/>
              </w:rPr>
              <w:fldChar w:fldCharType="separate"/>
            </w:r>
            <w:r w:rsidR="00AD136C">
              <w:rPr>
                <w:noProof/>
                <w:webHidden/>
              </w:rPr>
              <w:t>90</w:t>
            </w:r>
            <w:r>
              <w:rPr>
                <w:noProof/>
                <w:webHidden/>
              </w:rPr>
              <w:fldChar w:fldCharType="end"/>
            </w:r>
          </w:hyperlink>
        </w:p>
        <w:p w:rsidR="00EA53FA" w:rsidRDefault="00135E52">
          <w:pPr>
            <w:pStyle w:val="Spistreci1"/>
            <w:tabs>
              <w:tab w:val="right" w:leader="dot" w:pos="9062"/>
            </w:tabs>
            <w:rPr>
              <w:rFonts w:cstheme="minorBidi"/>
              <w:noProof/>
            </w:rPr>
          </w:pPr>
          <w:hyperlink w:anchor="_Toc535233364" w:history="1">
            <w:r w:rsidR="00EA53FA" w:rsidRPr="00B71B4B">
              <w:rPr>
                <w:rStyle w:val="Hipercze"/>
                <w:noProof/>
              </w:rPr>
              <w:t>Załączniki</w:t>
            </w:r>
            <w:r w:rsidR="00EA53FA">
              <w:rPr>
                <w:noProof/>
                <w:webHidden/>
              </w:rPr>
              <w:tab/>
            </w:r>
            <w:r>
              <w:rPr>
                <w:noProof/>
                <w:webHidden/>
              </w:rPr>
              <w:fldChar w:fldCharType="begin"/>
            </w:r>
            <w:r w:rsidR="00EA53FA">
              <w:rPr>
                <w:noProof/>
                <w:webHidden/>
              </w:rPr>
              <w:instrText xml:space="preserve"> PAGEREF _Toc535233364 \h </w:instrText>
            </w:r>
            <w:r>
              <w:rPr>
                <w:noProof/>
                <w:webHidden/>
              </w:rPr>
            </w:r>
            <w:r>
              <w:rPr>
                <w:noProof/>
                <w:webHidden/>
              </w:rPr>
              <w:fldChar w:fldCharType="separate"/>
            </w:r>
            <w:r w:rsidR="00AD136C">
              <w:rPr>
                <w:noProof/>
                <w:webHidden/>
              </w:rPr>
              <w:t>91</w:t>
            </w:r>
            <w:r>
              <w:rPr>
                <w:noProof/>
                <w:webHidden/>
              </w:rPr>
              <w:fldChar w:fldCharType="end"/>
            </w:r>
          </w:hyperlink>
        </w:p>
        <w:p w:rsidR="00EA53FA" w:rsidRDefault="00135E52">
          <w:pPr>
            <w:pStyle w:val="Spistreci1"/>
            <w:tabs>
              <w:tab w:val="right" w:leader="dot" w:pos="9062"/>
            </w:tabs>
            <w:rPr>
              <w:rFonts w:cstheme="minorBidi"/>
              <w:noProof/>
            </w:rPr>
          </w:pPr>
          <w:hyperlink w:anchor="_Toc535233365" w:history="1">
            <w:r w:rsidR="00EA53FA" w:rsidRPr="00B71B4B">
              <w:rPr>
                <w:rStyle w:val="Hipercze"/>
                <w:noProof/>
              </w:rPr>
              <w:t>Spis Tabel</w:t>
            </w:r>
            <w:r w:rsidR="00EA53FA">
              <w:rPr>
                <w:noProof/>
                <w:webHidden/>
              </w:rPr>
              <w:tab/>
            </w:r>
            <w:r>
              <w:rPr>
                <w:noProof/>
                <w:webHidden/>
              </w:rPr>
              <w:fldChar w:fldCharType="begin"/>
            </w:r>
            <w:r w:rsidR="00EA53FA">
              <w:rPr>
                <w:noProof/>
                <w:webHidden/>
              </w:rPr>
              <w:instrText xml:space="preserve"> PAGEREF _Toc535233365 \h </w:instrText>
            </w:r>
            <w:r>
              <w:rPr>
                <w:noProof/>
                <w:webHidden/>
              </w:rPr>
            </w:r>
            <w:r>
              <w:rPr>
                <w:noProof/>
                <w:webHidden/>
              </w:rPr>
              <w:fldChar w:fldCharType="separate"/>
            </w:r>
            <w:r w:rsidR="00AD136C">
              <w:rPr>
                <w:noProof/>
                <w:webHidden/>
              </w:rPr>
              <w:t>91</w:t>
            </w:r>
            <w:r>
              <w:rPr>
                <w:noProof/>
                <w:webHidden/>
              </w:rPr>
              <w:fldChar w:fldCharType="end"/>
            </w:r>
          </w:hyperlink>
        </w:p>
        <w:p w:rsidR="00EA53FA" w:rsidRDefault="00135E52">
          <w:pPr>
            <w:pStyle w:val="Spistreci1"/>
            <w:tabs>
              <w:tab w:val="right" w:leader="dot" w:pos="9062"/>
            </w:tabs>
            <w:rPr>
              <w:rFonts w:cstheme="minorBidi"/>
              <w:noProof/>
            </w:rPr>
          </w:pPr>
          <w:hyperlink w:anchor="_Toc535233366" w:history="1">
            <w:r w:rsidR="00EA53FA" w:rsidRPr="00B71B4B">
              <w:rPr>
                <w:rStyle w:val="Hipercze"/>
                <w:noProof/>
              </w:rPr>
              <w:t>Spis Wykresów</w:t>
            </w:r>
            <w:r w:rsidR="00EA53FA">
              <w:rPr>
                <w:noProof/>
                <w:webHidden/>
              </w:rPr>
              <w:tab/>
            </w:r>
            <w:r>
              <w:rPr>
                <w:noProof/>
                <w:webHidden/>
              </w:rPr>
              <w:fldChar w:fldCharType="begin"/>
            </w:r>
            <w:r w:rsidR="00EA53FA">
              <w:rPr>
                <w:noProof/>
                <w:webHidden/>
              </w:rPr>
              <w:instrText xml:space="preserve"> PAGEREF _Toc535233366 \h </w:instrText>
            </w:r>
            <w:r>
              <w:rPr>
                <w:noProof/>
                <w:webHidden/>
              </w:rPr>
            </w:r>
            <w:r>
              <w:rPr>
                <w:noProof/>
                <w:webHidden/>
              </w:rPr>
              <w:fldChar w:fldCharType="separate"/>
            </w:r>
            <w:r w:rsidR="00AD136C">
              <w:rPr>
                <w:noProof/>
                <w:webHidden/>
              </w:rPr>
              <w:t>92</w:t>
            </w:r>
            <w:r>
              <w:rPr>
                <w:noProof/>
                <w:webHidden/>
              </w:rPr>
              <w:fldChar w:fldCharType="end"/>
            </w:r>
          </w:hyperlink>
        </w:p>
        <w:p w:rsidR="00EA53FA" w:rsidRDefault="00135E52">
          <w:pPr>
            <w:pStyle w:val="Spistreci1"/>
            <w:tabs>
              <w:tab w:val="right" w:leader="dot" w:pos="9062"/>
            </w:tabs>
            <w:rPr>
              <w:rFonts w:cstheme="minorBidi"/>
              <w:noProof/>
            </w:rPr>
          </w:pPr>
          <w:hyperlink w:anchor="_Toc535233367" w:history="1">
            <w:r w:rsidR="00EA53FA" w:rsidRPr="00B71B4B">
              <w:rPr>
                <w:rStyle w:val="Hipercze"/>
                <w:noProof/>
              </w:rPr>
              <w:t>Spis Rysunków</w:t>
            </w:r>
            <w:r w:rsidR="00EA53FA">
              <w:rPr>
                <w:noProof/>
                <w:webHidden/>
              </w:rPr>
              <w:tab/>
            </w:r>
            <w:r>
              <w:rPr>
                <w:noProof/>
                <w:webHidden/>
              </w:rPr>
              <w:fldChar w:fldCharType="begin"/>
            </w:r>
            <w:r w:rsidR="00EA53FA">
              <w:rPr>
                <w:noProof/>
                <w:webHidden/>
              </w:rPr>
              <w:instrText xml:space="preserve"> PAGEREF _Toc535233367 \h </w:instrText>
            </w:r>
            <w:r>
              <w:rPr>
                <w:noProof/>
                <w:webHidden/>
              </w:rPr>
            </w:r>
            <w:r>
              <w:rPr>
                <w:noProof/>
                <w:webHidden/>
              </w:rPr>
              <w:fldChar w:fldCharType="separate"/>
            </w:r>
            <w:r w:rsidR="00AD136C">
              <w:rPr>
                <w:noProof/>
                <w:webHidden/>
              </w:rPr>
              <w:t>93</w:t>
            </w:r>
            <w:r>
              <w:rPr>
                <w:noProof/>
                <w:webHidden/>
              </w:rPr>
              <w:fldChar w:fldCharType="end"/>
            </w:r>
          </w:hyperlink>
        </w:p>
        <w:p w:rsidR="00C13FF9" w:rsidRDefault="00135E52" w:rsidP="00C13FF9">
          <w:pPr>
            <w:rPr>
              <w:b/>
              <w:bCs/>
            </w:rPr>
          </w:pPr>
          <w:r>
            <w:rPr>
              <w:b/>
              <w:bCs/>
            </w:rPr>
            <w:fldChar w:fldCharType="end"/>
          </w:r>
        </w:p>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135E52" w:rsidP="00C13FF9"/>
      </w:sdtContent>
    </w:sdt>
    <w:bookmarkStart w:id="2" w:name="_Toc535233321" w:displacedByCustomXml="prev"/>
    <w:p w:rsidR="00D65E9A" w:rsidRPr="00201B63" w:rsidRDefault="00D65E9A" w:rsidP="001E2C72">
      <w:pPr>
        <w:pStyle w:val="Styl1"/>
        <w:spacing w:line="360" w:lineRule="auto"/>
      </w:pPr>
      <w:r w:rsidRPr="00201B63">
        <w:lastRenderedPageBreak/>
        <w:t>1. W</w:t>
      </w:r>
      <w:r>
        <w:t>STĘP</w:t>
      </w:r>
      <w:bookmarkEnd w:id="1"/>
      <w:bookmarkEnd w:id="0"/>
      <w:bookmarkEnd w:id="2"/>
    </w:p>
    <w:p w:rsidR="00D65E9A" w:rsidRDefault="00D65E9A" w:rsidP="00D65E9A">
      <w:r>
        <w:t xml:space="preserve">Diagnoza stanu w zakresie jakości powietrza na terenie województwa mazowieckiego wskazała, że główną przyczyną przekroczeń poziomów dopuszczalnych i docelowych stężeń substancji w powietrzu jest tzw. „niska emisja”. </w:t>
      </w:r>
    </w:p>
    <w:p w:rsidR="00D65E9A" w:rsidRDefault="00D65E9A" w:rsidP="00D65E9A">
      <w:r>
        <w:t xml:space="preserve">Przez „niską emisję” rozumie się emitowanie do atmosfery produktów paliw stałych, ciekłych </w:t>
      </w:r>
      <w:r>
        <w:br/>
        <w:t>i gazowych, pochodzących ze źródeł znajdujących się do wysokości 40 m</w:t>
      </w:r>
      <w:r>
        <w:rPr>
          <w:rStyle w:val="Odwoanieprzypisudolnego"/>
        </w:rPr>
        <w:footnoteReference w:id="2"/>
      </w:r>
      <w:r>
        <w:t>. Za jedną z głównych przyczyn występowania niskiej emisji, wymienia się zanieczyszczenia pochodzące z domowych pieców grzewczych i lokalnych kotłowni węglowych, w których spalanie węgla odbywa się w</w:t>
      </w:r>
      <w:r w:rsidR="00B70A8F">
        <w:t> </w:t>
      </w:r>
      <w:r>
        <w:t>nieefektywny sposób. Wpływ na niską emisję mogą mieć również emisja komunikacyjna, emisja wynikająca z produkcji ciepła dla potrzeb centralnego ogrzewania i ciepłej wody użytkowej, a</w:t>
      </w:r>
      <w:r w:rsidR="00B70A8F">
        <w:t> </w:t>
      </w:r>
      <w:r>
        <w:t>także niska emisja przemysłowa.</w:t>
      </w:r>
    </w:p>
    <w:p w:rsidR="00D65E9A" w:rsidRPr="00D65E9A" w:rsidRDefault="00D65E9A" w:rsidP="00D65E9A">
      <w:r w:rsidRPr="00D65E9A">
        <w:t>Inne przyczyny odpowiadające za występowanie niskiej emisji to m.in:</w:t>
      </w:r>
    </w:p>
    <w:p w:rsidR="00D65E9A" w:rsidRPr="00D65E9A" w:rsidRDefault="00D65E9A" w:rsidP="00D65E9A">
      <w:pPr>
        <w:pStyle w:val="Akapitzlist"/>
        <w:numPr>
          <w:ilvl w:val="0"/>
          <w:numId w:val="1"/>
        </w:numPr>
      </w:pPr>
      <w:r w:rsidRPr="00D65E9A">
        <w:t>ogrzewanie budynków słabej jakości paliwami (m.in.: węglem, mokrym drewnem, flotokoncentratem, miałem i mułem węglowym, ekogroszkiem z węgla brunatnego);</w:t>
      </w:r>
    </w:p>
    <w:p w:rsidR="00D65E9A" w:rsidRPr="00D65E9A" w:rsidRDefault="00D65E9A" w:rsidP="00D65E9A">
      <w:pPr>
        <w:pStyle w:val="Akapitzlist"/>
        <w:numPr>
          <w:ilvl w:val="0"/>
          <w:numId w:val="1"/>
        </w:numPr>
      </w:pPr>
      <w:r w:rsidRPr="00D65E9A">
        <w:t>stosowanie słabej jakości paliw w działalności gospodarczej i komunalnej (emitory do 40 m); decydującej o uzyskiwanej sprawności energetycznej i efektywności ekologicznej;</w:t>
      </w:r>
    </w:p>
    <w:p w:rsidR="00D65E9A" w:rsidRPr="00D65E9A" w:rsidRDefault="00D65E9A" w:rsidP="00D65E9A">
      <w:pPr>
        <w:pStyle w:val="Akapitzlist"/>
        <w:numPr>
          <w:ilvl w:val="0"/>
          <w:numId w:val="1"/>
        </w:numPr>
      </w:pPr>
      <w:r w:rsidRPr="00D65E9A">
        <w:t>spalanie śmieci w domowych kotłach grzewczych;</w:t>
      </w:r>
    </w:p>
    <w:p w:rsidR="00D65E9A" w:rsidRPr="00D65E9A" w:rsidRDefault="00D65E9A" w:rsidP="00D65E9A">
      <w:pPr>
        <w:pStyle w:val="Akapitzlist"/>
        <w:numPr>
          <w:ilvl w:val="0"/>
          <w:numId w:val="1"/>
        </w:numPr>
      </w:pPr>
      <w:r w:rsidRPr="00D65E9A">
        <w:t xml:space="preserve">brak zastosowywanie się do norm dotyczących spalania paliw wykorzystywanych </w:t>
      </w:r>
      <w:r w:rsidRPr="00D65E9A">
        <w:br/>
        <w:t>w gospodarstwach domowych;</w:t>
      </w:r>
    </w:p>
    <w:p w:rsidR="00D65E9A" w:rsidRPr="00D65E9A" w:rsidRDefault="00D65E9A" w:rsidP="00D65E9A">
      <w:pPr>
        <w:pStyle w:val="Akapitzlist"/>
        <w:numPr>
          <w:ilvl w:val="0"/>
          <w:numId w:val="1"/>
        </w:numPr>
      </w:pPr>
      <w:r w:rsidRPr="00D65E9A">
        <w:t>korzystanie z przestarzałych pieców;</w:t>
      </w:r>
    </w:p>
    <w:p w:rsidR="00D65E9A" w:rsidRPr="00D65E9A" w:rsidRDefault="00D65E9A" w:rsidP="00D65E9A">
      <w:pPr>
        <w:pStyle w:val="Akapitzlist"/>
        <w:numPr>
          <w:ilvl w:val="0"/>
          <w:numId w:val="1"/>
        </w:numPr>
      </w:pPr>
      <w:r w:rsidRPr="00D65E9A">
        <w:t>nieodpowiednia i przestarzała izolacja domów, przyczyniająca się do utraty energii w</w:t>
      </w:r>
      <w:r w:rsidR="00B70A8F">
        <w:t> </w:t>
      </w:r>
      <w:r w:rsidRPr="00D65E9A">
        <w:t>procesie ogrzewania;</w:t>
      </w:r>
    </w:p>
    <w:p w:rsidR="00D65E9A" w:rsidRPr="00D65E9A" w:rsidRDefault="00D65E9A" w:rsidP="00D65E9A">
      <w:pPr>
        <w:pStyle w:val="Akapitzlist"/>
        <w:numPr>
          <w:ilvl w:val="0"/>
          <w:numId w:val="1"/>
        </w:numPr>
      </w:pPr>
      <w:r w:rsidRPr="00D65E9A">
        <w:t>emisja wtórna pyłów;</w:t>
      </w:r>
    </w:p>
    <w:p w:rsidR="00D65E9A" w:rsidRPr="00D65E9A" w:rsidRDefault="00D65E9A" w:rsidP="00D65E9A">
      <w:pPr>
        <w:pStyle w:val="Akapitzlist"/>
        <w:numPr>
          <w:ilvl w:val="0"/>
          <w:numId w:val="1"/>
        </w:numPr>
      </w:pPr>
      <w:r w:rsidRPr="00D65E9A">
        <w:t>klimat i ukształtowanie terenu (m.in.: kotliny, niecki dolin rzek);</w:t>
      </w:r>
    </w:p>
    <w:p w:rsidR="00D65E9A" w:rsidRPr="00D65E9A" w:rsidRDefault="00D65E9A" w:rsidP="00D65E9A">
      <w:pPr>
        <w:pStyle w:val="Akapitzlist"/>
        <w:numPr>
          <w:ilvl w:val="0"/>
          <w:numId w:val="1"/>
        </w:numPr>
      </w:pPr>
      <w:r w:rsidRPr="00D65E9A">
        <w:t>emisja komunikacyjna, czyli ruch samochodowy;</w:t>
      </w:r>
    </w:p>
    <w:p w:rsidR="00D65E9A" w:rsidRPr="00D65E9A" w:rsidRDefault="00D65E9A" w:rsidP="00D65E9A">
      <w:pPr>
        <w:pStyle w:val="Akapitzlist"/>
        <w:numPr>
          <w:ilvl w:val="0"/>
          <w:numId w:val="1"/>
        </w:numPr>
      </w:pPr>
      <w:r w:rsidRPr="00D65E9A">
        <w:t xml:space="preserve">niewielki udział odnawialnych źródeł energii;  </w:t>
      </w:r>
    </w:p>
    <w:p w:rsidR="00D65E9A" w:rsidRPr="00D65E9A" w:rsidRDefault="00D65E9A" w:rsidP="00D65E9A">
      <w:pPr>
        <w:pStyle w:val="Akapitzlist"/>
        <w:numPr>
          <w:ilvl w:val="0"/>
          <w:numId w:val="1"/>
        </w:numPr>
      </w:pPr>
      <w:r w:rsidRPr="00D65E9A">
        <w:lastRenderedPageBreak/>
        <w:t>brak infrastruktury ciepłowniczej i gazowej.</w:t>
      </w:r>
    </w:p>
    <w:p w:rsidR="00D65E9A" w:rsidRPr="00940FF9" w:rsidRDefault="00D65E9A" w:rsidP="00D65E9A">
      <w:r w:rsidRPr="00940FF9">
        <w:rPr>
          <w:shd w:val="clear" w:color="auto" w:fill="FFFFFF"/>
        </w:rPr>
        <w:t>Do produktów spalania, wpływających na występowanie niskiej emisji, zaliczyć można gazy: dwutlenek węgla CO</w:t>
      </w:r>
      <w:r w:rsidRPr="00940FF9">
        <w:rPr>
          <w:vertAlign w:val="subscript"/>
        </w:rPr>
        <w:t>2</w:t>
      </w:r>
      <w:r w:rsidRPr="00940FF9">
        <w:rPr>
          <w:shd w:val="clear" w:color="auto" w:fill="FFFFFF"/>
        </w:rPr>
        <w:t>, tlenek węgla CO, ozon, dwutlenek siarki SO</w:t>
      </w:r>
      <w:r w:rsidRPr="00940FF9">
        <w:rPr>
          <w:vertAlign w:val="subscript"/>
        </w:rPr>
        <w:t>2</w:t>
      </w:r>
      <w:r w:rsidRPr="00940FF9">
        <w:rPr>
          <w:shd w:val="clear" w:color="auto" w:fill="FFFFFF"/>
        </w:rPr>
        <w:t>, tlenki azotu NO</w:t>
      </w:r>
      <w:r w:rsidRPr="00940FF9">
        <w:rPr>
          <w:vertAlign w:val="subscript"/>
        </w:rPr>
        <w:t>X</w:t>
      </w:r>
      <w:r w:rsidRPr="00940FF9">
        <w:rPr>
          <w:shd w:val="clear" w:color="auto" w:fill="FFFFFF"/>
        </w:rPr>
        <w:t>, wielopierścieniowe węglowodory aromatyczne np. benzo(a)piren, metale ciężkie (ołów, arsen, kadm, nikiel, rtęć), a także pyły zawieszone PM10, PM2,5.</w:t>
      </w:r>
    </w:p>
    <w:p w:rsidR="00D65E9A" w:rsidRPr="004B24CF" w:rsidRDefault="00D65E9A" w:rsidP="00D65E9A">
      <w:r w:rsidRPr="00201B63">
        <w:t>Czynniki te w połączeniu z niekorzystnymi warunkami rozprzestrzeniania się substancji w</w:t>
      </w:r>
      <w:r w:rsidR="00B70A8F">
        <w:t> </w:t>
      </w:r>
      <w:r w:rsidRPr="00201B63">
        <w:t>powietrzu, jakie występują zwłaszcza w okresie grzewczym m.in.: inwersje temperatur czy małe prędkości wiatrów oraz specyfika ukształtowania terenu, decydują o występowaniu przekroczeń poziomów normatywnych. Ostateczne rezultaty generowane przez niską emisję (wielkość związanego z nią problemu</w:t>
      </w:r>
      <w:r>
        <w:t xml:space="preserve"> środowiskowego) zależna jest także od panujących w</w:t>
      </w:r>
      <w:r w:rsidR="00B70A8F">
        <w:t> </w:t>
      </w:r>
      <w:r>
        <w:t>określonym położeniu geograficznym warunków klimatycznych oraz geologicznych.</w:t>
      </w:r>
    </w:p>
    <w:p w:rsidR="00D65E9A" w:rsidRDefault="00D65E9A" w:rsidP="00D65E9A">
      <w:r>
        <w:t>Niska emisja ma duży wpływ na jakość powietrza, gdyż nisko usytuowane źródła emisji mogą prowadzić do powstania wysokich stężeń produktów związków chemicznych, będących produktami spalania paliw, w strefie przebywania ludzi</w:t>
      </w:r>
      <w:r>
        <w:rPr>
          <w:rStyle w:val="Odwoanieprzypisudolnego"/>
        </w:rPr>
        <w:footnoteReference w:id="3"/>
      </w:r>
      <w:r w:rsidRPr="00A3404A">
        <w:rPr>
          <w:vertAlign w:val="superscript"/>
        </w:rPr>
        <w:t>,</w:t>
      </w:r>
      <w:r>
        <w:rPr>
          <w:rStyle w:val="Odwoanieprzypisudolnego"/>
        </w:rPr>
        <w:footnoteReference w:id="4"/>
      </w:r>
      <w:r>
        <w:t>.</w:t>
      </w:r>
    </w:p>
    <w:p w:rsidR="00D65E9A" w:rsidRDefault="00D65E9A" w:rsidP="00D65E9A">
      <w:r>
        <w:t>Skutki oddziaływania niskiej emisji na zdrowie i życie społeczeństwa w obszarach zanieczyszczonych, skłaniają do podjęcia radykalnych decyzji w zakresie jakości paliw stałych oraz urządzeń do ich spalania.</w:t>
      </w:r>
    </w:p>
    <w:p w:rsidR="00D65E9A" w:rsidRDefault="00D65E9A" w:rsidP="00D65E9A">
      <w:r>
        <w:t xml:space="preserve">Należy mieć również na uwadze, że niska emisja to problem urbanistyczny, związany bezpośrednio z ilością zanieczyszczeń pochodzących z domowych kominów. </w:t>
      </w:r>
    </w:p>
    <w:p w:rsidR="00D65E9A" w:rsidRDefault="00D65E9A" w:rsidP="00D65E9A">
      <w:r>
        <w:t xml:space="preserve">Istotnym elementem działań podejmowanych na rzecz ograniczenia zanieczyszczenia powietrza z niskich emitorów jest realizacja Programów Ograniczania Niskiej Emisji. </w:t>
      </w:r>
      <w:r w:rsidRPr="00DE72F2">
        <w:t>Program Ogranicz</w:t>
      </w:r>
      <w:r w:rsidR="007861DB">
        <w:t>a</w:t>
      </w:r>
      <w:r w:rsidRPr="00DE72F2">
        <w:t xml:space="preserve">nia Niskiej Emisji (PONE) dla </w:t>
      </w:r>
      <w:r>
        <w:t>Miasta Mława</w:t>
      </w:r>
      <w:r w:rsidRPr="00DE72F2">
        <w:t xml:space="preserve"> ma na celu zaplanowanie działań polegających na wymianie przestarzałych kotłów na niskoemisyjne źródła ciepła, poprawiając efektywność energetyczną budynków na terenie </w:t>
      </w:r>
      <w:r>
        <w:t>Gminy</w:t>
      </w:r>
      <w:r w:rsidRPr="00DE72F2">
        <w:t>, a tym samym przyczyniając się do poprawy stanu powietrza.</w:t>
      </w:r>
    </w:p>
    <w:p w:rsidR="00D65E9A" w:rsidRPr="00E457E6" w:rsidRDefault="00D65E9A" w:rsidP="00D65E9A">
      <w:pPr>
        <w:pStyle w:val="Styl2"/>
        <w:spacing w:line="360" w:lineRule="auto"/>
      </w:pPr>
      <w:bookmarkStart w:id="3" w:name="_Toc524375231"/>
      <w:bookmarkStart w:id="4" w:name="_Toc524519411"/>
      <w:bookmarkStart w:id="5" w:name="_Toc525631653"/>
      <w:bookmarkStart w:id="6" w:name="_Toc526758903"/>
      <w:bookmarkStart w:id="7" w:name="_Toc528057755"/>
      <w:bookmarkStart w:id="8" w:name="_Toc528747986"/>
      <w:bookmarkStart w:id="9" w:name="_Toc535233322"/>
      <w:r w:rsidRPr="00E457E6">
        <w:lastRenderedPageBreak/>
        <w:t>1.1 Wykaz skrótów</w:t>
      </w:r>
      <w:bookmarkEnd w:id="3"/>
      <w:bookmarkEnd w:id="4"/>
      <w:bookmarkEnd w:id="5"/>
      <w:bookmarkEnd w:id="6"/>
      <w:bookmarkEnd w:id="7"/>
      <w:bookmarkEnd w:id="8"/>
      <w:bookmarkEnd w:id="9"/>
    </w:p>
    <w:p w:rsidR="00D65E9A" w:rsidRPr="00D65E9A" w:rsidRDefault="00D65E9A" w:rsidP="00D65E9A">
      <w:r>
        <w:t xml:space="preserve">W </w:t>
      </w:r>
      <w:r w:rsidRPr="00D65E9A">
        <w:t xml:space="preserve">niniejszym opracowaniu zastosowano następujące skróty: </w:t>
      </w:r>
    </w:p>
    <w:p w:rsidR="00D65E9A" w:rsidRPr="00D65E9A" w:rsidRDefault="00D65E9A" w:rsidP="00AA7DC0">
      <w:pPr>
        <w:pStyle w:val="Akapitzlist"/>
        <w:numPr>
          <w:ilvl w:val="0"/>
          <w:numId w:val="6"/>
        </w:numPr>
      </w:pPr>
      <w:r w:rsidRPr="00D65E9A">
        <w:t>BAP - Benzo(a)piren</w:t>
      </w:r>
    </w:p>
    <w:p w:rsidR="00D65E9A" w:rsidRPr="00D65E9A" w:rsidRDefault="00D65E9A" w:rsidP="00AA7DC0">
      <w:pPr>
        <w:pStyle w:val="Akapitzlist"/>
        <w:numPr>
          <w:ilvl w:val="0"/>
          <w:numId w:val="6"/>
        </w:numPr>
      </w:pPr>
      <w:r w:rsidRPr="00D65E9A">
        <w:t>BEiŚ - Strategia Bezpieczeństwo Energetyczne i Środowisko</w:t>
      </w:r>
    </w:p>
    <w:p w:rsidR="00D65E9A" w:rsidRPr="00D65E9A" w:rsidRDefault="00D65E9A" w:rsidP="00AA7DC0">
      <w:pPr>
        <w:pStyle w:val="Akapitzlist"/>
        <w:numPr>
          <w:ilvl w:val="0"/>
          <w:numId w:val="6"/>
        </w:numPr>
      </w:pPr>
      <w:r w:rsidRPr="00D65E9A">
        <w:t>BOŚ – Bank Ochrony Środowiska</w:t>
      </w:r>
    </w:p>
    <w:p w:rsidR="00D65E9A" w:rsidRPr="00D65E9A" w:rsidRDefault="00D65E9A" w:rsidP="00AA7DC0">
      <w:pPr>
        <w:pStyle w:val="Akapitzlist"/>
        <w:numPr>
          <w:ilvl w:val="0"/>
          <w:numId w:val="6"/>
        </w:numPr>
      </w:pPr>
      <w:r w:rsidRPr="00D65E9A">
        <w:t>NFOŚiGW – Narodowy Fundusz Ochrony Środowiska i Gospodarki Wodnej</w:t>
      </w:r>
    </w:p>
    <w:p w:rsidR="00D65E9A" w:rsidRPr="00D65E9A" w:rsidRDefault="00D65E9A" w:rsidP="00AA7DC0">
      <w:pPr>
        <w:pStyle w:val="Akapitzlist"/>
        <w:numPr>
          <w:ilvl w:val="0"/>
          <w:numId w:val="6"/>
        </w:numPr>
      </w:pPr>
      <w:r w:rsidRPr="00D65E9A">
        <w:t>PGN – P</w:t>
      </w:r>
      <w:r w:rsidR="00CE339D">
        <w:t xml:space="preserve">lan </w:t>
      </w:r>
      <w:r w:rsidRPr="00D65E9A">
        <w:t xml:space="preserve">Gospodarki Niskoemisyjnej </w:t>
      </w:r>
    </w:p>
    <w:p w:rsidR="00D65E9A" w:rsidRPr="00D65E9A" w:rsidRDefault="00D65E9A" w:rsidP="00AA7DC0">
      <w:pPr>
        <w:pStyle w:val="Akapitzlist"/>
        <w:numPr>
          <w:ilvl w:val="0"/>
          <w:numId w:val="6"/>
        </w:numPr>
      </w:pPr>
      <w:r w:rsidRPr="00D65E9A">
        <w:t xml:space="preserve">PONE– Program Ograniczania Niskiej Emisji dla </w:t>
      </w:r>
      <w:r>
        <w:t>Miasta Mławy</w:t>
      </w:r>
    </w:p>
    <w:p w:rsidR="00D65E9A" w:rsidRPr="00D65E9A" w:rsidRDefault="00D65E9A" w:rsidP="00AA7DC0">
      <w:pPr>
        <w:pStyle w:val="Akapitzlist"/>
        <w:numPr>
          <w:ilvl w:val="0"/>
          <w:numId w:val="6"/>
        </w:numPr>
      </w:pPr>
      <w:r w:rsidRPr="00D65E9A">
        <w:t>POP – Program Ochrony Powietrza</w:t>
      </w:r>
    </w:p>
    <w:p w:rsidR="00D65E9A" w:rsidRPr="00D65E9A" w:rsidRDefault="00D65E9A" w:rsidP="00AA7DC0">
      <w:pPr>
        <w:pStyle w:val="Akapitzlist"/>
        <w:numPr>
          <w:ilvl w:val="0"/>
          <w:numId w:val="6"/>
        </w:numPr>
      </w:pPr>
      <w:r w:rsidRPr="00D65E9A">
        <w:t xml:space="preserve">WFOŚiGW – Wojewódzki Fundusz Ochrony Środowiska i Gospodarki Wodnej </w:t>
      </w:r>
    </w:p>
    <w:p w:rsidR="00D65E9A" w:rsidRPr="00D65E9A" w:rsidRDefault="00D65E9A" w:rsidP="00AA7DC0">
      <w:pPr>
        <w:pStyle w:val="Akapitzlist"/>
        <w:numPr>
          <w:ilvl w:val="0"/>
          <w:numId w:val="6"/>
        </w:numPr>
      </w:pPr>
      <w:r w:rsidRPr="00D65E9A">
        <w:t>WOF - Warszawski Obszar Funkcjonalny</w:t>
      </w:r>
    </w:p>
    <w:p w:rsidR="00D65E9A" w:rsidRPr="00D65E9A" w:rsidRDefault="00D65E9A" w:rsidP="00AA7DC0">
      <w:pPr>
        <w:pStyle w:val="Akapitzlist"/>
        <w:numPr>
          <w:ilvl w:val="0"/>
          <w:numId w:val="6"/>
        </w:numPr>
      </w:pPr>
      <w:r w:rsidRPr="00D65E9A">
        <w:t>OZE – Odnawialne Źródła Energii</w:t>
      </w:r>
    </w:p>
    <w:p w:rsidR="00D65E9A" w:rsidRPr="00D65E9A" w:rsidRDefault="00D65E9A" w:rsidP="00AA7DC0">
      <w:pPr>
        <w:pStyle w:val="Akapitzlist"/>
        <w:numPr>
          <w:ilvl w:val="0"/>
          <w:numId w:val="6"/>
        </w:numPr>
      </w:pPr>
      <w:r w:rsidRPr="00D65E9A">
        <w:t>WWA – wielopierścieniowe węglowodory aromatyczne</w:t>
      </w:r>
    </w:p>
    <w:p w:rsidR="00D65E9A" w:rsidRDefault="00D65E9A" w:rsidP="00D65E9A"/>
    <w:p w:rsidR="00D65E9A" w:rsidRPr="00E457E6" w:rsidRDefault="00D65E9A" w:rsidP="00D65E9A">
      <w:pPr>
        <w:pStyle w:val="Styl1"/>
        <w:spacing w:line="360" w:lineRule="auto"/>
      </w:pPr>
      <w:bookmarkStart w:id="10" w:name="_Toc523732368"/>
      <w:bookmarkStart w:id="11" w:name="_Toc524375232"/>
      <w:bookmarkStart w:id="12" w:name="_Toc524519412"/>
      <w:bookmarkStart w:id="13" w:name="_Toc525631654"/>
      <w:bookmarkStart w:id="14" w:name="_Toc526758904"/>
      <w:bookmarkStart w:id="15" w:name="_Toc528057756"/>
      <w:bookmarkStart w:id="16" w:name="_Toc528747987"/>
      <w:bookmarkStart w:id="17" w:name="_Toc535233323"/>
      <w:r w:rsidRPr="00E457E6">
        <w:t>2. P</w:t>
      </w:r>
      <w:bookmarkEnd w:id="10"/>
      <w:bookmarkEnd w:id="11"/>
      <w:bookmarkEnd w:id="12"/>
      <w:r>
        <w:t>ODSTAWA OPRACOWANIA</w:t>
      </w:r>
      <w:bookmarkEnd w:id="13"/>
      <w:bookmarkEnd w:id="14"/>
      <w:bookmarkEnd w:id="15"/>
      <w:bookmarkEnd w:id="16"/>
      <w:bookmarkEnd w:id="17"/>
    </w:p>
    <w:p w:rsidR="00D65E9A" w:rsidRDefault="00D65E9A" w:rsidP="00D65E9A">
      <w:r w:rsidRPr="006A364A">
        <w:t xml:space="preserve">Zgodnie z art. 91 ust. 1 ustawy Prawo ochrony środowiska (Dz. U.2018 r.poz. 799) dla stref </w:t>
      </w:r>
      <w:r>
        <w:br/>
      </w:r>
      <w:r w:rsidRPr="006A364A">
        <w:t>z przekroczonym poziomem dopuszczalnym substancji w powietrzu powiększonym o margines tolerancji</w:t>
      </w:r>
      <w:r>
        <w:t>,</w:t>
      </w:r>
      <w:r w:rsidRPr="006A364A">
        <w:t xml:space="preserve"> Zarząd Województwa opracowuje Program ochrony powietrza, mający na celu osiągnięcie poziomów dopuszczalnych substancji w powietrzu oraz pułapu stężenia ekspozycji.</w:t>
      </w:r>
    </w:p>
    <w:p w:rsidR="00D65E9A" w:rsidRDefault="00D65E9A" w:rsidP="00D65E9A">
      <w:r>
        <w:t>Zgodnie z programami ochrony powietrza obowiązującymi w województwie mazowieckim obowiązek określenia Programów Ograniczania Niskiej Emisji (PONE) mają samorządy gminne właściwe dla gmin, na terenie których stwierdzono występowanie przekroczeń poziomów dopuszczalnych pyłu zawieszonego PM10 i pyłu zawieszonego PM2,5. Na terenie Mławy stwierdzono przekroczenia emisji tychże pyłów.</w:t>
      </w:r>
    </w:p>
    <w:p w:rsidR="00D65E9A" w:rsidRPr="006A364A" w:rsidRDefault="00D65E9A" w:rsidP="00D65E9A">
      <w:r w:rsidRPr="006A364A">
        <w:t xml:space="preserve">Podstawą formalną opracowania </w:t>
      </w:r>
      <w:r w:rsidRPr="006A364A">
        <w:rPr>
          <w:rFonts w:cs="Calibri Light"/>
        </w:rPr>
        <w:t>Programu Ogranicz</w:t>
      </w:r>
      <w:r w:rsidR="007861DB">
        <w:rPr>
          <w:rFonts w:cs="Calibri Light"/>
        </w:rPr>
        <w:t>a</w:t>
      </w:r>
      <w:r w:rsidRPr="006A364A">
        <w:rPr>
          <w:rFonts w:cs="Calibri Light"/>
        </w:rPr>
        <w:t xml:space="preserve">nia Niskiej Emisji dla </w:t>
      </w:r>
      <w:r>
        <w:rPr>
          <w:rFonts w:cs="Calibri Light"/>
        </w:rPr>
        <w:t xml:space="preserve">Miasta Mława </w:t>
      </w:r>
      <w:r w:rsidRPr="006A364A">
        <w:t xml:space="preserve">jest </w:t>
      </w:r>
      <w:r>
        <w:t>u</w:t>
      </w:r>
      <w:r w:rsidRPr="006A364A">
        <w:t xml:space="preserve">mowa zawarta pomiędzy </w:t>
      </w:r>
      <w:r>
        <w:t>Miastem Mławą</w:t>
      </w:r>
      <w:r w:rsidRPr="006A364A">
        <w:t xml:space="preserve">, a Grupą CDE Sp. z o.o. z siedzibą w Mikołowie. </w:t>
      </w:r>
    </w:p>
    <w:p w:rsidR="00D65E9A" w:rsidRPr="00D65E9A" w:rsidRDefault="00D65E9A" w:rsidP="00CE339D">
      <w:r w:rsidRPr="006A364A">
        <w:lastRenderedPageBreak/>
        <w:t xml:space="preserve">Zgodnie z </w:t>
      </w:r>
      <w:r w:rsidRPr="00D65E9A">
        <w:t>zapisami umownymi opracowanie niniejszego dokumentu jest wykonane zgodnie z:</w:t>
      </w:r>
    </w:p>
    <w:p w:rsidR="00D65E9A" w:rsidRPr="00D65E9A" w:rsidRDefault="00D65E9A" w:rsidP="00AA7DC0">
      <w:pPr>
        <w:pStyle w:val="Akapitzlist"/>
        <w:numPr>
          <w:ilvl w:val="0"/>
          <w:numId w:val="7"/>
        </w:numPr>
      </w:pPr>
      <w:r w:rsidRPr="00D65E9A">
        <w:t>ustawą z dnia 8 marca 1990 r. o samorządzie gminnym;</w:t>
      </w:r>
    </w:p>
    <w:p w:rsidR="00D65E9A" w:rsidRPr="00D65E9A" w:rsidRDefault="00D65E9A" w:rsidP="00AA7DC0">
      <w:pPr>
        <w:pStyle w:val="Akapitzlist"/>
        <w:numPr>
          <w:ilvl w:val="0"/>
          <w:numId w:val="7"/>
        </w:numPr>
      </w:pPr>
      <w:r w:rsidRPr="00D65E9A">
        <w:t>ustawą z dnia 5 czerwca 1998 r. o samorządzie powiatowym;</w:t>
      </w:r>
    </w:p>
    <w:p w:rsidR="00D65E9A" w:rsidRPr="00D65E9A" w:rsidRDefault="00D65E9A" w:rsidP="00AA7DC0">
      <w:pPr>
        <w:pStyle w:val="Akapitzlist"/>
        <w:numPr>
          <w:ilvl w:val="0"/>
          <w:numId w:val="7"/>
        </w:numPr>
      </w:pPr>
      <w:r w:rsidRPr="00D65E9A">
        <w:t>ustawą z dnia 10 kwietnia 1997 r. Prawo energetyczne;</w:t>
      </w:r>
    </w:p>
    <w:p w:rsidR="00D65E9A" w:rsidRPr="00D65E9A" w:rsidRDefault="00D65E9A" w:rsidP="00AA7DC0">
      <w:pPr>
        <w:pStyle w:val="Akapitzlist"/>
        <w:numPr>
          <w:ilvl w:val="0"/>
          <w:numId w:val="7"/>
        </w:numPr>
      </w:pPr>
      <w:r w:rsidRPr="00D65E9A">
        <w:t>ustawą z dnia 20 maja 2016 r. o efektywności energetycznej;</w:t>
      </w:r>
    </w:p>
    <w:p w:rsidR="00D65E9A" w:rsidRPr="00D65E9A" w:rsidRDefault="00D65E9A" w:rsidP="00AA7DC0">
      <w:pPr>
        <w:pStyle w:val="Akapitzlist"/>
        <w:numPr>
          <w:ilvl w:val="0"/>
          <w:numId w:val="7"/>
        </w:numPr>
      </w:pPr>
      <w:r w:rsidRPr="00D65E9A">
        <w:t xml:space="preserve">ustawą z dnia 27 kwietnia 2001 r. Prawo ochrony środowiska; </w:t>
      </w:r>
    </w:p>
    <w:p w:rsidR="00D65E9A" w:rsidRPr="00D65E9A" w:rsidRDefault="00D65E9A" w:rsidP="00AA7DC0">
      <w:pPr>
        <w:pStyle w:val="Akapitzlist"/>
        <w:numPr>
          <w:ilvl w:val="0"/>
          <w:numId w:val="7"/>
        </w:numPr>
      </w:pPr>
      <w:r w:rsidRPr="00D65E9A">
        <w:t xml:space="preserve">ustawą z dnia 3 października 2008 r. o udostępnianiu informacji o środowisku i jego ochronie, udziale społeczeństwa w ochronie środowiska oraz ocenach oddziaływania </w:t>
      </w:r>
      <w:r w:rsidRPr="00D65E9A">
        <w:br/>
        <w:t>na środowisko;</w:t>
      </w:r>
    </w:p>
    <w:p w:rsidR="00D65E9A" w:rsidRPr="00D65E9A" w:rsidRDefault="00D65E9A" w:rsidP="00AA7DC0">
      <w:pPr>
        <w:pStyle w:val="Akapitzlist"/>
        <w:numPr>
          <w:ilvl w:val="0"/>
          <w:numId w:val="7"/>
        </w:numPr>
      </w:pPr>
      <w:r w:rsidRPr="00D65E9A">
        <w:t>ustawą z dnia 27 marca 2003 r. o planowaniu i zagospodarowaniu przestrzennym;</w:t>
      </w:r>
    </w:p>
    <w:p w:rsidR="00D65E9A" w:rsidRPr="00D65E9A" w:rsidRDefault="00D65E9A" w:rsidP="00AA7DC0">
      <w:pPr>
        <w:pStyle w:val="Akapitzlist"/>
        <w:numPr>
          <w:ilvl w:val="0"/>
          <w:numId w:val="7"/>
        </w:numPr>
      </w:pPr>
      <w:r w:rsidRPr="00D65E9A">
        <w:t>ustawą z dnia 7 lipca 1994 r. Prawo budowlane;</w:t>
      </w:r>
    </w:p>
    <w:p w:rsidR="00D65E9A" w:rsidRPr="00D65E9A" w:rsidRDefault="00D65E9A" w:rsidP="00AA7DC0">
      <w:pPr>
        <w:pStyle w:val="Akapitzlist"/>
        <w:numPr>
          <w:ilvl w:val="0"/>
          <w:numId w:val="7"/>
        </w:numPr>
      </w:pPr>
      <w:r w:rsidRPr="00D65E9A">
        <w:t>ustawą z dnia 21 listopada 2008 r. o wspieraniu termomodernizacji i remontów;</w:t>
      </w:r>
    </w:p>
    <w:p w:rsidR="00D65E9A" w:rsidRPr="00D65E9A" w:rsidRDefault="00D65E9A" w:rsidP="00AA7DC0">
      <w:pPr>
        <w:pStyle w:val="Akapitzlist"/>
        <w:numPr>
          <w:ilvl w:val="0"/>
          <w:numId w:val="7"/>
        </w:numPr>
      </w:pPr>
      <w:r w:rsidRPr="00D65E9A">
        <w:t>ustawą z dnia 16 lutego 2007 o ochronie konkurencji i konsumentów;</w:t>
      </w:r>
    </w:p>
    <w:p w:rsidR="00D65E9A" w:rsidRPr="00D65E9A" w:rsidRDefault="00D65E9A" w:rsidP="00AA7DC0">
      <w:pPr>
        <w:pStyle w:val="Akapitzlist"/>
        <w:numPr>
          <w:ilvl w:val="0"/>
          <w:numId w:val="7"/>
        </w:numPr>
      </w:pPr>
      <w:r w:rsidRPr="00D65E9A">
        <w:t>rozporządzenie</w:t>
      </w:r>
      <w:r w:rsidR="00CE339D">
        <w:t>m</w:t>
      </w:r>
      <w:r w:rsidRPr="00D65E9A">
        <w:t xml:space="preserve"> Ministra Środowiska z dnia 26 stycznia 2010 r. w sprawie wartości odniesienia dla niektórych substancji w powietrzu;</w:t>
      </w:r>
    </w:p>
    <w:p w:rsidR="00D65E9A" w:rsidRPr="00D65E9A" w:rsidRDefault="00D65E9A" w:rsidP="00AA7DC0">
      <w:pPr>
        <w:pStyle w:val="Akapitzlist"/>
        <w:numPr>
          <w:ilvl w:val="0"/>
          <w:numId w:val="7"/>
        </w:numPr>
      </w:pPr>
      <w:r w:rsidRPr="00D65E9A">
        <w:t>rozporządzenie</w:t>
      </w:r>
      <w:r w:rsidR="00CE339D">
        <w:t>m</w:t>
      </w:r>
      <w:r w:rsidRPr="00D65E9A">
        <w:t xml:space="preserve"> Ministra Środowiska z dnia 24 sierpnia 2012 r. w sprawie poziomów niektórych substancji w powietrzu;</w:t>
      </w:r>
    </w:p>
    <w:p w:rsidR="00D65E9A" w:rsidRPr="00D65E9A" w:rsidRDefault="00D65E9A" w:rsidP="00AA7DC0">
      <w:pPr>
        <w:pStyle w:val="Akapitzlist"/>
        <w:numPr>
          <w:ilvl w:val="0"/>
          <w:numId w:val="7"/>
        </w:numPr>
      </w:pPr>
      <w:r w:rsidRPr="00D65E9A">
        <w:t>rozporządzenie</w:t>
      </w:r>
      <w:r w:rsidR="00CE339D">
        <w:t>m</w:t>
      </w:r>
      <w:r w:rsidRPr="00D65E9A">
        <w:t xml:space="preserve"> Ministra Środowiska z dnia 8 czerwca 2018 r. w sprawie dokonywania oceny poziomów substancji w powietrzu;</w:t>
      </w:r>
    </w:p>
    <w:p w:rsidR="00D65E9A" w:rsidRPr="00D65E9A" w:rsidRDefault="00D65E9A" w:rsidP="00AA7DC0">
      <w:pPr>
        <w:pStyle w:val="Akapitzlist"/>
        <w:numPr>
          <w:ilvl w:val="0"/>
          <w:numId w:val="7"/>
        </w:numPr>
      </w:pPr>
      <w:r w:rsidRPr="00D65E9A">
        <w:t>rozporządzenie</w:t>
      </w:r>
      <w:r w:rsidR="00CE339D">
        <w:t>m</w:t>
      </w:r>
      <w:r w:rsidRPr="00D65E9A">
        <w:t xml:space="preserve"> Ministra Środowiska z dnia 2 lipca 2010 r. w sprawie rodzajów instalacji, których eksploatacja wymaga zgłoszenia;</w:t>
      </w:r>
    </w:p>
    <w:p w:rsidR="00D65E9A" w:rsidRPr="00D65E9A" w:rsidRDefault="00D65E9A" w:rsidP="00AA7DC0">
      <w:pPr>
        <w:pStyle w:val="Akapitzlist"/>
        <w:numPr>
          <w:ilvl w:val="0"/>
          <w:numId w:val="7"/>
        </w:numPr>
      </w:pPr>
      <w:r w:rsidRPr="00D65E9A">
        <w:t>rozporządzenie</w:t>
      </w:r>
      <w:r w:rsidR="00CE339D">
        <w:t>m</w:t>
      </w:r>
      <w:r w:rsidRPr="00D65E9A">
        <w:t xml:space="preserve"> Ministra Środowiska z dnia 2 lipca 2010 r. w sprawie przypadków, </w:t>
      </w:r>
      <w:r w:rsidRPr="00D65E9A">
        <w:br/>
        <w:t>w których wprowadzanie gazów lub pyłów do powietrza z instalacji nie wymaga pozwolenia;</w:t>
      </w:r>
    </w:p>
    <w:p w:rsidR="00232384" w:rsidRPr="00D65E9A" w:rsidRDefault="00D65E9A" w:rsidP="00AA7DC0">
      <w:pPr>
        <w:pStyle w:val="Akapitzlist"/>
        <w:numPr>
          <w:ilvl w:val="0"/>
          <w:numId w:val="7"/>
        </w:numPr>
      </w:pPr>
      <w:r w:rsidRPr="00D65E9A">
        <w:t>rozporządzenie</w:t>
      </w:r>
      <w:r w:rsidR="00CE339D">
        <w:t>m</w:t>
      </w:r>
      <w:r w:rsidRPr="00D65E9A">
        <w:t xml:space="preserve"> Ministra Środowiska z dnia 2 sierpnia 2012 r. w sprawie stref, w</w:t>
      </w:r>
      <w:r w:rsidR="00B70A8F">
        <w:t> </w:t>
      </w:r>
      <w:r w:rsidRPr="00D65E9A">
        <w:t>których dokonuje się oceny jakości powietrza.</w:t>
      </w:r>
    </w:p>
    <w:p w:rsidR="00D65E9A" w:rsidRPr="00E457E6" w:rsidRDefault="00D65E9A" w:rsidP="00D65E9A">
      <w:pPr>
        <w:pStyle w:val="Styl2"/>
        <w:spacing w:line="360" w:lineRule="auto"/>
      </w:pPr>
      <w:bookmarkStart w:id="18" w:name="_Toc523732369"/>
      <w:bookmarkStart w:id="19" w:name="_Toc524375233"/>
      <w:bookmarkStart w:id="20" w:name="_Toc524519413"/>
      <w:bookmarkStart w:id="21" w:name="_Toc525631655"/>
      <w:bookmarkStart w:id="22" w:name="_Toc526758905"/>
      <w:bookmarkStart w:id="23" w:name="_Toc528057757"/>
      <w:bookmarkStart w:id="24" w:name="_Toc528747988"/>
      <w:bookmarkStart w:id="25" w:name="_Toc535233324"/>
      <w:r w:rsidRPr="00E457E6">
        <w:lastRenderedPageBreak/>
        <w:t>2.1 Cel i zakres opracowania</w:t>
      </w:r>
      <w:bookmarkEnd w:id="18"/>
      <w:bookmarkEnd w:id="19"/>
      <w:bookmarkEnd w:id="20"/>
      <w:bookmarkEnd w:id="21"/>
      <w:bookmarkEnd w:id="22"/>
      <w:bookmarkEnd w:id="23"/>
      <w:bookmarkEnd w:id="24"/>
      <w:bookmarkEnd w:id="25"/>
    </w:p>
    <w:p w:rsidR="00D65E9A" w:rsidRPr="00201B63" w:rsidRDefault="00D65E9A" w:rsidP="00D65E9A">
      <w:r w:rsidRPr="00201B63">
        <w:rPr>
          <w:rFonts w:eastAsia="Times New Roman"/>
          <w:lang w:eastAsia="pl-PL"/>
        </w:rPr>
        <w:t xml:space="preserve">Głównym celem PONE jest </w:t>
      </w:r>
      <w:r w:rsidRPr="00201B63">
        <w:t>likwidacja źródeł spalania paliw stałych o mocy do 1 MW niespełniających wymagań ekoprojektu</w:t>
      </w:r>
      <w:r w:rsidRPr="00201B63">
        <w:rPr>
          <w:rStyle w:val="Odwoanieprzypisudolnego"/>
        </w:rPr>
        <w:footnoteReference w:id="5"/>
      </w:r>
      <w:r w:rsidRPr="00201B63">
        <w:t xml:space="preserve"> w sektorze komunalno-bytowym oraz sektorze usług i</w:t>
      </w:r>
      <w:r w:rsidR="00B70A8F">
        <w:t> </w:t>
      </w:r>
      <w:r w:rsidRPr="00201B63">
        <w:t>handlu oraz w małych i średnich przedsiębiorstwach.</w:t>
      </w:r>
    </w:p>
    <w:p w:rsidR="00D65E9A" w:rsidRPr="00D65E9A" w:rsidRDefault="00D65E9A" w:rsidP="00D65E9A">
      <w:r w:rsidRPr="00201B63">
        <w:t xml:space="preserve">Cel </w:t>
      </w:r>
      <w:r w:rsidRPr="00D65E9A">
        <w:t xml:space="preserve">główny realizowany będzie poprzez cele cząstkowe: </w:t>
      </w:r>
    </w:p>
    <w:p w:rsidR="00D65E9A" w:rsidRPr="00D65E9A" w:rsidRDefault="00D65E9A" w:rsidP="00AA7DC0">
      <w:pPr>
        <w:pStyle w:val="Akapitzlist"/>
        <w:numPr>
          <w:ilvl w:val="0"/>
          <w:numId w:val="4"/>
        </w:numPr>
      </w:pPr>
      <w:r w:rsidRPr="00D65E9A">
        <w:t xml:space="preserve">uświadomienie mieszkańcom gminy zagrożeń środowiskowych wynikających </w:t>
      </w:r>
      <w:r w:rsidRPr="00D65E9A">
        <w:br/>
        <w:t>z prowadzenia nieracjonalnej gospodarki energetycznej w budynkach poprzez akcję informacyjną;</w:t>
      </w:r>
    </w:p>
    <w:p w:rsidR="00D65E9A" w:rsidRPr="00D65E9A" w:rsidRDefault="00D65E9A" w:rsidP="00AA7DC0">
      <w:pPr>
        <w:pStyle w:val="Akapitzlist"/>
        <w:numPr>
          <w:ilvl w:val="0"/>
          <w:numId w:val="4"/>
        </w:numPr>
      </w:pPr>
      <w:r w:rsidRPr="00D65E9A">
        <w:t>wskazanie kierunków działań prowadzących do optymalizacji zużycia energii na cele grzewcze;</w:t>
      </w:r>
    </w:p>
    <w:p w:rsidR="00D65E9A" w:rsidRPr="00D65E9A" w:rsidRDefault="00D65E9A" w:rsidP="00AA7DC0">
      <w:pPr>
        <w:pStyle w:val="Akapitzlist"/>
        <w:numPr>
          <w:ilvl w:val="0"/>
          <w:numId w:val="4"/>
        </w:numPr>
      </w:pPr>
      <w:r w:rsidRPr="00D65E9A">
        <w:t>wskazanie korzyści ekonomicznych z eksploatacji nowoczesnych wysokosprawnych urządzeń grzewczych;</w:t>
      </w:r>
    </w:p>
    <w:p w:rsidR="00D65E9A" w:rsidRPr="00D65E9A" w:rsidRDefault="00D65E9A" w:rsidP="00AA7DC0">
      <w:pPr>
        <w:pStyle w:val="Akapitzlist"/>
        <w:numPr>
          <w:ilvl w:val="0"/>
          <w:numId w:val="4"/>
        </w:numPr>
      </w:pPr>
      <w:r w:rsidRPr="00D65E9A">
        <w:t xml:space="preserve">wytworzenie mechanizmu zachęt finansowych dla przyspieszenia procesu modernizacyjnego (pod względem energetycznym) w budynkach. </w:t>
      </w:r>
    </w:p>
    <w:p w:rsidR="00D65E9A" w:rsidRPr="00D65E9A" w:rsidRDefault="00D65E9A" w:rsidP="00D65E9A">
      <w:r w:rsidRPr="00D65E9A">
        <w:t>Zgodnie z Załącznikiem 4 do uchwały nr 98/17 Sejmiku Województwa Mazowieckiego z dnia 20</w:t>
      </w:r>
      <w:r w:rsidR="008A0DD6">
        <w:t> </w:t>
      </w:r>
      <w:r w:rsidRPr="00D65E9A">
        <w:t>czerwca 2017 r., redukcja emisji powierzchniowej w gminach poprzez realizację działań naprawczych przedstawionych w harmonogramie rzeczowo-finansowym w skali lokalnej</w:t>
      </w:r>
      <w:r w:rsidR="008A0DD6">
        <w:t xml:space="preserve"> (por. tabela 12)</w:t>
      </w:r>
      <w:r w:rsidRPr="00D65E9A">
        <w:t xml:space="preserve">, na terenie </w:t>
      </w:r>
      <w:r>
        <w:t>Mławy</w:t>
      </w:r>
      <w:r w:rsidRPr="00D65E9A">
        <w:t xml:space="preserve"> w POP dla województwa mazowieckiego:</w:t>
      </w:r>
    </w:p>
    <w:p w:rsidR="00D65E9A" w:rsidRPr="00D65E9A" w:rsidRDefault="00D65E9A" w:rsidP="00AA7DC0">
      <w:pPr>
        <w:pStyle w:val="Akapitzlist"/>
        <w:numPr>
          <w:ilvl w:val="0"/>
          <w:numId w:val="5"/>
        </w:numPr>
      </w:pPr>
      <w:r w:rsidRPr="00D65E9A">
        <w:t xml:space="preserve">PM10: </w:t>
      </w:r>
      <w:r>
        <w:t>40,17</w:t>
      </w:r>
      <w:r w:rsidRPr="00D65E9A">
        <w:t xml:space="preserve"> Mg/rok;</w:t>
      </w:r>
    </w:p>
    <w:p w:rsidR="00D65E9A" w:rsidRPr="00D65E9A" w:rsidRDefault="00D65E9A" w:rsidP="00AA7DC0">
      <w:pPr>
        <w:pStyle w:val="Akapitzlist"/>
        <w:numPr>
          <w:ilvl w:val="0"/>
          <w:numId w:val="5"/>
        </w:numPr>
      </w:pPr>
      <w:r w:rsidRPr="00D65E9A">
        <w:t xml:space="preserve">PM2,5: </w:t>
      </w:r>
      <w:r>
        <w:t>39,55</w:t>
      </w:r>
      <w:r w:rsidRPr="00D65E9A">
        <w:t xml:space="preserve"> Mg/rok.</w:t>
      </w:r>
    </w:p>
    <w:p w:rsidR="00D65E9A" w:rsidRPr="00D65E9A" w:rsidRDefault="00D65E9A" w:rsidP="00D65E9A">
      <w:r w:rsidRPr="00D65E9A">
        <w:t>Stopień redukcji emisji pyłu zawieszonego PM10 i pyłu zawieszonego PM2,5 [%] to:</w:t>
      </w:r>
    </w:p>
    <w:p w:rsidR="00D65E9A" w:rsidRPr="00D65E9A" w:rsidRDefault="00D65E9A" w:rsidP="00AA7DC0">
      <w:pPr>
        <w:pStyle w:val="Akapitzlist"/>
        <w:numPr>
          <w:ilvl w:val="0"/>
          <w:numId w:val="2"/>
        </w:numPr>
      </w:pPr>
      <w:r>
        <w:t>25</w:t>
      </w:r>
      <w:r w:rsidRPr="00D65E9A">
        <w:t>,00%.</w:t>
      </w:r>
    </w:p>
    <w:p w:rsidR="00D65E9A" w:rsidRPr="00D65E9A" w:rsidRDefault="00D65E9A" w:rsidP="00D65E9A">
      <w:r w:rsidRPr="00D65E9A">
        <w:t xml:space="preserve">Narzędziem służącym do osiągnięcia niniejszego celu może być realizacja następujących działań: </w:t>
      </w:r>
    </w:p>
    <w:p w:rsidR="00D65E9A" w:rsidRPr="00D65E9A" w:rsidRDefault="00D65E9A" w:rsidP="00AA7DC0">
      <w:pPr>
        <w:pStyle w:val="Akapitzlist"/>
        <w:numPr>
          <w:ilvl w:val="0"/>
          <w:numId w:val="3"/>
        </w:numPr>
      </w:pPr>
      <w:r w:rsidRPr="00D65E9A">
        <w:lastRenderedPageBreak/>
        <w:t xml:space="preserve">podłączenie do sieci cieplnej, gdy sieć istnieje na danym obszarze, a podłączenie jest technicznie możliwe i ekonomicznie uzasadnione, </w:t>
      </w:r>
    </w:p>
    <w:p w:rsidR="00D65E9A" w:rsidRPr="00D65E9A" w:rsidRDefault="00D65E9A" w:rsidP="00AA7DC0">
      <w:pPr>
        <w:pStyle w:val="Akapitzlist"/>
        <w:numPr>
          <w:ilvl w:val="0"/>
          <w:numId w:val="3"/>
        </w:numPr>
      </w:pPr>
      <w:r w:rsidRPr="00D65E9A">
        <w:t>wymiana starych pieców i kotłów na kotły gazowe, na nowoczesne urządzenia z</w:t>
      </w:r>
      <w:r w:rsidR="00B70A8F">
        <w:t> </w:t>
      </w:r>
      <w:r w:rsidRPr="00D65E9A">
        <w:t>podajnikiem automatycznym na węgiel lub biomasę spełniające wymagania ekoprojektu, na kotły olejowe oraz ogrzewanie elektryczne lub pompy ciepła;</w:t>
      </w:r>
    </w:p>
    <w:p w:rsidR="00D65E9A" w:rsidRPr="00D65E9A" w:rsidRDefault="00D65E9A" w:rsidP="00AA7DC0">
      <w:pPr>
        <w:pStyle w:val="Akapitzlist"/>
        <w:numPr>
          <w:ilvl w:val="0"/>
          <w:numId w:val="3"/>
        </w:numPr>
      </w:pPr>
      <w:r w:rsidRPr="00D65E9A">
        <w:t>termomodernizacja budynków.</w:t>
      </w:r>
    </w:p>
    <w:p w:rsidR="00D65E9A" w:rsidRDefault="00D65E9A" w:rsidP="00D65E9A">
      <w:r w:rsidRPr="00D65E9A">
        <w:t>Wszelkie możliwe wsparcie finansowe ze środków zewnętrznych w zakresie realizacji PONE jest możliwe jedynie przy wykazaniu pozytywnego efektu ekologicznego. Korzyści ekonomiczne (eksploatacyjne) wynikające z wymiany źródła ciepła interesują przede wszystkim użytkowników urządzeń. Dla nich efekt ekologiczny jest sprawą ważną, lecz nadal wtórną. Zatem wymierne korzyści ekonomiczne z realizacji zadań modernizacyjnych dla użytkownika (ewentualne zmniejszenie kosztów eksploatacyjnych</w:t>
      </w:r>
      <w:r w:rsidRPr="00267470">
        <w:t>orazniższezaangażowanieśrodkówwłasnychnaetapieinwestycyjnym)wykorzystanezostanądoosiągnięciacelówśrodowiskowych.Generalniezakładasięjednakprowadzeniedziałańnarzeczwsparciainwes</w:t>
      </w:r>
      <w:r>
        <w:t xml:space="preserve">tycyjnego mieszkańców głównie w </w:t>
      </w:r>
      <w:r w:rsidRPr="00267470">
        <w:t>oparciuo</w:t>
      </w:r>
      <w:r>
        <w:t xml:space="preserve"> zaangażowanie </w:t>
      </w:r>
      <w:r w:rsidRPr="00232A67">
        <w:t>środkówzewnętrznych</w:t>
      </w:r>
      <w:r>
        <w:t>.</w:t>
      </w:r>
    </w:p>
    <w:p w:rsidR="00B70A8F" w:rsidRPr="009D52CC" w:rsidRDefault="00B70A8F" w:rsidP="00D65E9A"/>
    <w:p w:rsidR="00D65E9A" w:rsidRPr="00E457E6" w:rsidRDefault="00D65E9A" w:rsidP="00D65E9A">
      <w:pPr>
        <w:pStyle w:val="Styl2"/>
        <w:spacing w:line="360" w:lineRule="auto"/>
      </w:pPr>
      <w:bookmarkStart w:id="26" w:name="_Toc506286926"/>
      <w:bookmarkStart w:id="27" w:name="_Toc523732370"/>
      <w:bookmarkStart w:id="28" w:name="_Toc524375234"/>
      <w:bookmarkStart w:id="29" w:name="_Toc524519414"/>
      <w:bookmarkStart w:id="30" w:name="_Toc525631656"/>
      <w:bookmarkStart w:id="31" w:name="_Toc526758906"/>
      <w:bookmarkStart w:id="32" w:name="_Toc528057758"/>
      <w:bookmarkStart w:id="33" w:name="_Toc528747989"/>
      <w:bookmarkStart w:id="34" w:name="_Toc535233325"/>
      <w:r w:rsidRPr="000A4B5E">
        <w:t>2.2 Przyjęta metodyka</w:t>
      </w:r>
      <w:bookmarkEnd w:id="26"/>
      <w:bookmarkEnd w:id="27"/>
      <w:bookmarkEnd w:id="28"/>
      <w:bookmarkEnd w:id="29"/>
      <w:bookmarkEnd w:id="30"/>
      <w:bookmarkEnd w:id="31"/>
      <w:bookmarkEnd w:id="32"/>
      <w:bookmarkEnd w:id="33"/>
      <w:bookmarkEnd w:id="34"/>
    </w:p>
    <w:p w:rsidR="00E522D9" w:rsidRDefault="00D65E9A" w:rsidP="00D65E9A">
      <w:r w:rsidRPr="00B64581">
        <w:t xml:space="preserve">Metodologia opracowania </w:t>
      </w:r>
      <w:r>
        <w:t>PONE</w:t>
      </w:r>
      <w:r w:rsidRPr="00B64581">
        <w:t xml:space="preserve"> polegała na: </w:t>
      </w:r>
    </w:p>
    <w:p w:rsidR="00E522D9" w:rsidRPr="00685BED" w:rsidRDefault="00E522D9" w:rsidP="00AA7DC0">
      <w:pPr>
        <w:pStyle w:val="Akapitzlist"/>
        <w:numPr>
          <w:ilvl w:val="0"/>
          <w:numId w:val="33"/>
        </w:numPr>
      </w:pPr>
      <w:r w:rsidRPr="00685BED">
        <w:t xml:space="preserve">ocenie aktualnego stanu i uwarunkowań środowiska w zakresie niskiej emisji zanieczyszczeń powietrza na terenie </w:t>
      </w:r>
      <w:r>
        <w:t>gminy,</w:t>
      </w:r>
    </w:p>
    <w:p w:rsidR="00E522D9" w:rsidRPr="00685BED" w:rsidRDefault="00E522D9" w:rsidP="00AA7DC0">
      <w:pPr>
        <w:pStyle w:val="Akapitzlist"/>
        <w:numPr>
          <w:ilvl w:val="0"/>
          <w:numId w:val="33"/>
        </w:numPr>
      </w:pPr>
      <w:r w:rsidRPr="00685BED">
        <w:t>weryfikacji dotychczasowych dokumentów i opracowań inwestycyjno-środowiskowych</w:t>
      </w:r>
      <w:r>
        <w:t>,</w:t>
      </w:r>
    </w:p>
    <w:p w:rsidR="00E522D9" w:rsidRPr="00215F42" w:rsidRDefault="00E522D9" w:rsidP="00AA7DC0">
      <w:pPr>
        <w:pStyle w:val="Akapitzlist"/>
        <w:numPr>
          <w:ilvl w:val="0"/>
          <w:numId w:val="33"/>
        </w:numPr>
        <w:rPr>
          <w:rFonts w:eastAsia="Times New Roman" w:cs="Arial"/>
          <w:lang w:eastAsia="pl-PL"/>
        </w:rPr>
      </w:pPr>
      <w:r w:rsidRPr="00215F42">
        <w:rPr>
          <w:rFonts w:cs="Arial"/>
        </w:rPr>
        <w:t>określeniu zasad i priorytetów likwidacji lub wymiany urządzeń grzewczych na nowoczesne systemy grzewcze,</w:t>
      </w:r>
    </w:p>
    <w:p w:rsidR="00E522D9" w:rsidRPr="00215F42" w:rsidRDefault="00E522D9" w:rsidP="00AA7DC0">
      <w:pPr>
        <w:pStyle w:val="Akapitzlist"/>
        <w:numPr>
          <w:ilvl w:val="0"/>
          <w:numId w:val="33"/>
        </w:numPr>
        <w:rPr>
          <w:rFonts w:eastAsia="Times New Roman" w:cs="Arial"/>
          <w:lang w:eastAsia="pl-PL"/>
        </w:rPr>
      </w:pPr>
      <w:r w:rsidRPr="00215F42">
        <w:rPr>
          <w:rFonts w:eastAsia="Times New Roman" w:cs="Arial"/>
          <w:lang w:eastAsia="pl-PL"/>
        </w:rPr>
        <w:t xml:space="preserve">inwentaryzacji </w:t>
      </w:r>
      <w:r>
        <w:rPr>
          <w:rFonts w:eastAsia="Times New Roman" w:cs="Arial"/>
          <w:lang w:eastAsia="pl-PL"/>
        </w:rPr>
        <w:t>mieszanej (rejestrowej i ankietowej)</w:t>
      </w:r>
      <w:r w:rsidRPr="00215F42">
        <w:rPr>
          <w:rFonts w:eastAsia="Times New Roman" w:cs="Arial"/>
          <w:lang w:eastAsia="pl-PL"/>
        </w:rPr>
        <w:t>, polegającej na analizie danych zawartych w rejestrach administracyjnych</w:t>
      </w:r>
      <w:r>
        <w:rPr>
          <w:rFonts w:eastAsia="Times New Roman" w:cs="Arial"/>
          <w:lang w:eastAsia="pl-PL"/>
        </w:rPr>
        <w:t xml:space="preserve"> oraz przeprowadzeniu ankietyzacji wśród 765 gospodarstw domowych</w:t>
      </w:r>
      <w:r w:rsidRPr="00215F42">
        <w:rPr>
          <w:rFonts w:eastAsia="Times New Roman" w:cs="Arial"/>
          <w:lang w:eastAsia="pl-PL"/>
        </w:rPr>
        <w:t>,</w:t>
      </w:r>
    </w:p>
    <w:p w:rsidR="00E522D9" w:rsidRPr="00685BED" w:rsidRDefault="00E522D9" w:rsidP="00AA7DC0">
      <w:pPr>
        <w:pStyle w:val="Akapitzlist"/>
        <w:numPr>
          <w:ilvl w:val="0"/>
          <w:numId w:val="33"/>
        </w:numPr>
      </w:pPr>
      <w:r w:rsidRPr="00685BED">
        <w:lastRenderedPageBreak/>
        <w:t>opracowaniu analizy techniczno-ekonomicznej planowanych przedsięwzięć</w:t>
      </w:r>
      <w:r>
        <w:t>,</w:t>
      </w:r>
    </w:p>
    <w:p w:rsidR="00E522D9" w:rsidRPr="00685BED" w:rsidRDefault="00E522D9" w:rsidP="00AA7DC0">
      <w:pPr>
        <w:pStyle w:val="Akapitzlist"/>
        <w:numPr>
          <w:ilvl w:val="0"/>
          <w:numId w:val="33"/>
        </w:numPr>
      </w:pPr>
      <w:r w:rsidRPr="00685BED">
        <w:t>obliczeniu planowanego do osiągnięcia efektu ekologicznego</w:t>
      </w:r>
      <w:r>
        <w:t>,</w:t>
      </w:r>
    </w:p>
    <w:p w:rsidR="00E522D9" w:rsidRPr="00685BED" w:rsidRDefault="00E522D9" w:rsidP="00AA7DC0">
      <w:pPr>
        <w:pStyle w:val="Akapitzlist"/>
        <w:numPr>
          <w:ilvl w:val="0"/>
          <w:numId w:val="33"/>
        </w:numPr>
      </w:pPr>
      <w:r w:rsidRPr="00685BED">
        <w:t>opracowaniu harmonogramu rzeczowo-finansowego realizacji poszczególnych przedsięwzięć</w:t>
      </w:r>
      <w:r>
        <w:t>,</w:t>
      </w:r>
    </w:p>
    <w:p w:rsidR="00E522D9" w:rsidRDefault="00E522D9" w:rsidP="00AA7DC0">
      <w:pPr>
        <w:pStyle w:val="Akapitzlist"/>
        <w:numPr>
          <w:ilvl w:val="0"/>
          <w:numId w:val="33"/>
        </w:numPr>
      </w:pPr>
      <w:r w:rsidRPr="00685BED">
        <w:t>określeniu zasad kwalifikacji udziału w programie oraz źródeł finansowania</w:t>
      </w:r>
      <w:r>
        <w:t>,</w:t>
      </w:r>
    </w:p>
    <w:p w:rsidR="00E522D9" w:rsidRDefault="00E522D9" w:rsidP="00AA7DC0">
      <w:pPr>
        <w:pStyle w:val="Akapitzlist"/>
        <w:numPr>
          <w:ilvl w:val="0"/>
          <w:numId w:val="33"/>
        </w:numPr>
      </w:pPr>
      <w:r w:rsidRPr="00685BED">
        <w:t>określeniu zasad monitoringu i realizacji programu.</w:t>
      </w:r>
    </w:p>
    <w:p w:rsidR="00E522D9" w:rsidRDefault="00E522D9" w:rsidP="00D65E9A">
      <w:r>
        <w:t xml:space="preserve">Według danych GUS przeciętna powierzchnia </w:t>
      </w:r>
      <w:r w:rsidRPr="00535B11">
        <w:t xml:space="preserve">użytkowa nieruchomości </w:t>
      </w:r>
      <w:r>
        <w:t>w Mławie w roku 2017 wynosiła 70,0</w:t>
      </w:r>
      <w:r w:rsidRPr="00535B11">
        <w:t xml:space="preserve"> m</w:t>
      </w:r>
      <w:r w:rsidRPr="00535B11">
        <w:rPr>
          <w:vertAlign w:val="superscript"/>
        </w:rPr>
        <w:t>2</w:t>
      </w:r>
      <w:r w:rsidRPr="00535B11">
        <w:t> </w:t>
      </w:r>
      <w:r>
        <w:t xml:space="preserve"> i tę wartość również przyjęto w założeniach niniejszego opracowania. </w:t>
      </w:r>
    </w:p>
    <w:p w:rsidR="00E522D9" w:rsidRDefault="00E522D9" w:rsidP="00D65E9A">
      <w:r>
        <w:t xml:space="preserve">Ważnym etapem poprzedzającym opracowanie niniejszego „PONE” było przeprowadzenie na terenie Mławy badania ankietowego, dotyczącego zainteresowania mieszkańców wymianą posiadanego źródła na nowe, bardziej przyjazne ekologicznie. Dane pozyskane z ankiet przeanalizowano oraz wykorzystano na potrzeby opracowania przedmiotowego </w:t>
      </w:r>
      <w:r w:rsidRPr="004C58F2">
        <w:t>P</w:t>
      </w:r>
      <w:r w:rsidR="004C58F2" w:rsidRPr="004C58F2">
        <w:t>ONE</w:t>
      </w:r>
      <w:r w:rsidRPr="004C58F2">
        <w:t>.</w:t>
      </w:r>
      <w:r>
        <w:t xml:space="preserve"> Założeniem przeprowadzonej ankietyzacji było zapoznanie się z planami oraz potrzebami mieszkańców Mławy w zakresie modernizacji posiadanych przez nich indywidualnych systemów grzewczych, co z kolei umożliwiło optymalne zaplanowanie działań i ocenę ich kosztów. Ponadto przeprowadzona ankietyzacja umożliwiła częściowe zinwentaryzowanie istniejących, indywidualnych systemów grzewczych w Mieście Mława. </w:t>
      </w:r>
    </w:p>
    <w:p w:rsidR="004C58F2" w:rsidRDefault="004C58F2" w:rsidP="004C58F2">
      <w:r>
        <w:t xml:space="preserve">W opracowaniu ujęte zostały także wymiany kotłów oraz modernizacje budynków </w:t>
      </w:r>
      <w:r w:rsidR="00E33CEB">
        <w:t>zrealizowane</w:t>
      </w:r>
      <w:r>
        <w:t>w latach 2016-2018, które również wpływają na zmiany zanieczyszczenia powietrza od roku 2015 (tj. roku bazowego POP zgodnie z poziomem zanieczyszczenie na terenie Miasta Mława wyszczególnionych w Załączniku nr 1 do uchwały nr 98/17 Sejmiku Województwa Mazowieckiego z dnia 20 czerwca 2017 r.) (por podrozdział 5.2).</w:t>
      </w:r>
    </w:p>
    <w:p w:rsidR="00C13FF9" w:rsidRDefault="00C13FF9" w:rsidP="004C58F2"/>
    <w:p w:rsidR="00C13FF9" w:rsidRDefault="00C13FF9" w:rsidP="004C58F2"/>
    <w:p w:rsidR="00C13FF9" w:rsidRPr="00B64581" w:rsidRDefault="00C13FF9" w:rsidP="004C58F2"/>
    <w:p w:rsidR="009B1A27" w:rsidRPr="00E457E6" w:rsidRDefault="009B1A27" w:rsidP="009B1A27">
      <w:pPr>
        <w:pStyle w:val="Styl1"/>
        <w:spacing w:line="360" w:lineRule="auto"/>
      </w:pPr>
      <w:bookmarkStart w:id="35" w:name="_Toc525631657"/>
      <w:bookmarkStart w:id="36" w:name="_Toc526758907"/>
      <w:bookmarkStart w:id="37" w:name="_Toc528057759"/>
      <w:bookmarkStart w:id="38" w:name="_Toc528747990"/>
      <w:bookmarkStart w:id="39" w:name="_Toc535233326"/>
      <w:bookmarkStart w:id="40" w:name="_Toc524519415"/>
      <w:r>
        <w:lastRenderedPageBreak/>
        <w:t>3.  ZBIEŻNOŚĆ PONE Z ZAPISAMI DOKUMENTÓW STRATEGICZNYCH I PLANISTYCZNYCH</w:t>
      </w:r>
      <w:bookmarkEnd w:id="35"/>
      <w:bookmarkEnd w:id="36"/>
      <w:bookmarkEnd w:id="37"/>
      <w:bookmarkEnd w:id="38"/>
      <w:bookmarkEnd w:id="39"/>
      <w:bookmarkEnd w:id="40"/>
    </w:p>
    <w:p w:rsidR="009B1A27" w:rsidRDefault="009B1A27" w:rsidP="009B1A27">
      <w:pPr>
        <w:spacing w:after="0"/>
        <w:rPr>
          <w:rFonts w:cs="Calibri Light"/>
        </w:rPr>
      </w:pPr>
      <w:r w:rsidRPr="00E35364">
        <w:rPr>
          <w:rFonts w:cs="Calibri Light"/>
        </w:rPr>
        <w:t>Program</w:t>
      </w:r>
      <w:r>
        <w:rPr>
          <w:rFonts w:cs="Calibri Light"/>
        </w:rPr>
        <w:t xml:space="preserve"> Ogranicz</w:t>
      </w:r>
      <w:r w:rsidR="007861DB">
        <w:rPr>
          <w:rFonts w:cs="Calibri Light"/>
        </w:rPr>
        <w:t>a</w:t>
      </w:r>
      <w:r>
        <w:rPr>
          <w:rFonts w:cs="Calibri Light"/>
        </w:rPr>
        <w:t xml:space="preserve">nia Niskiej Emisji dla </w:t>
      </w:r>
      <w:r w:rsidR="008329EC">
        <w:rPr>
          <w:rFonts w:cs="Calibri Light"/>
        </w:rPr>
        <w:t>Miasta Mława</w:t>
      </w:r>
      <w:r w:rsidRPr="00E35364">
        <w:rPr>
          <w:rFonts w:cs="Calibri Light"/>
        </w:rPr>
        <w:t>zostałopracowanywoparciu</w:t>
      </w:r>
      <w:r>
        <w:rPr>
          <w:rFonts w:cs="Calibri Light"/>
        </w:rPr>
        <w:br/>
      </w:r>
      <w:r w:rsidRPr="00E35364">
        <w:rPr>
          <w:rFonts w:cs="Calibri Light"/>
        </w:rPr>
        <w:t>ozałożeniawynikającezdokumentówstrategicznychiprogramowychwyższegorzędunaszczeblu</w:t>
      </w:r>
      <w:r>
        <w:rPr>
          <w:rFonts w:cs="Calibri Light"/>
        </w:rPr>
        <w:t xml:space="preserve"> gminnym, </w:t>
      </w:r>
      <w:r w:rsidRPr="00E35364">
        <w:rPr>
          <w:rFonts w:cs="Calibri Light"/>
        </w:rPr>
        <w:t>powiatowym,wojewódzkimikrajowym.</w:t>
      </w:r>
    </w:p>
    <w:p w:rsidR="009B1A27" w:rsidRPr="00E457E6" w:rsidRDefault="009B1A27" w:rsidP="009B1A27">
      <w:pPr>
        <w:pStyle w:val="Styl2"/>
        <w:spacing w:line="360" w:lineRule="auto"/>
      </w:pPr>
      <w:bookmarkStart w:id="41" w:name="_Toc523732372"/>
      <w:bookmarkStart w:id="42" w:name="_Toc524375236"/>
      <w:bookmarkStart w:id="43" w:name="_Toc524519416"/>
      <w:bookmarkStart w:id="44" w:name="_Toc525631658"/>
      <w:bookmarkStart w:id="45" w:name="_Toc526758908"/>
      <w:bookmarkStart w:id="46" w:name="_Toc528057760"/>
      <w:bookmarkStart w:id="47" w:name="_Toc528747991"/>
      <w:bookmarkStart w:id="48" w:name="_Toc535233327"/>
      <w:r w:rsidRPr="00E457E6">
        <w:t>3.1 Dokumenty międzynarodowe i krajowe</w:t>
      </w:r>
      <w:bookmarkEnd w:id="41"/>
      <w:bookmarkEnd w:id="42"/>
      <w:bookmarkEnd w:id="43"/>
      <w:bookmarkEnd w:id="44"/>
      <w:bookmarkEnd w:id="45"/>
      <w:bookmarkEnd w:id="46"/>
      <w:bookmarkEnd w:id="47"/>
      <w:bookmarkEnd w:id="48"/>
    </w:p>
    <w:p w:rsidR="009B1A27" w:rsidRPr="009B7CFE" w:rsidRDefault="009B1A27" w:rsidP="009B1A27">
      <w:pPr>
        <w:rPr>
          <w:b/>
        </w:rPr>
      </w:pPr>
      <w:r w:rsidRPr="009B7CFE">
        <w:rPr>
          <w:b/>
        </w:rPr>
        <w:t>Pakiet klimatyczno-energetyczny</w:t>
      </w:r>
    </w:p>
    <w:p w:rsidR="009B1A27" w:rsidRPr="006A364A" w:rsidRDefault="009B1A27" w:rsidP="009B1A27">
      <w:r w:rsidRPr="006A364A">
        <w:t xml:space="preserve">Pakiet klimatyczno-energetyczny, nazywany skrótowo pakietem „3 x 20%” został przyjęty przez Parlament Europejski i przywódców krajów członkowskich UE w marcu 2007 r. Cele wyznaczone </w:t>
      </w:r>
      <w:r w:rsidRPr="006A364A">
        <w:br/>
        <w:t>w pakiecie są następujące:</w:t>
      </w:r>
    </w:p>
    <w:p w:rsidR="009B1A27" w:rsidRPr="006A364A" w:rsidRDefault="009B1A27" w:rsidP="00AA7DC0">
      <w:pPr>
        <w:pStyle w:val="Akapitzlist"/>
        <w:numPr>
          <w:ilvl w:val="0"/>
          <w:numId w:val="9"/>
        </w:numPr>
      </w:pPr>
      <w:r w:rsidRPr="006A364A">
        <w:t>zmniejszenie emisji gazów cieplarnianych przynajmniej o 20% w 2020 r. w</w:t>
      </w:r>
      <w:r w:rsidR="00B70A8F">
        <w:t> </w:t>
      </w:r>
      <w:r w:rsidRPr="006A364A">
        <w:t>porównaniu do bazowego 1990 r.;</w:t>
      </w:r>
    </w:p>
    <w:p w:rsidR="009B1A27" w:rsidRPr="006A364A" w:rsidRDefault="009B1A27" w:rsidP="00AA7DC0">
      <w:pPr>
        <w:pStyle w:val="Akapitzlist"/>
        <w:numPr>
          <w:ilvl w:val="0"/>
          <w:numId w:val="9"/>
        </w:numPr>
      </w:pPr>
      <w:r w:rsidRPr="006A364A">
        <w:t>zwiększenie udziału energii ze źródeł odnawialnych w zużyciu energii końcowej do 20% w 2020 r., w tym 10% udziału biopaliw w zużyciu paliw pędnych;</w:t>
      </w:r>
    </w:p>
    <w:p w:rsidR="009B1A27" w:rsidRPr="006A364A" w:rsidRDefault="009B1A27" w:rsidP="00AA7DC0">
      <w:pPr>
        <w:pStyle w:val="Akapitzlist"/>
        <w:numPr>
          <w:ilvl w:val="0"/>
          <w:numId w:val="9"/>
        </w:numPr>
      </w:pPr>
      <w:r w:rsidRPr="006A364A">
        <w:t xml:space="preserve">zwiększenie efektywności wykorzystania energii o 20% do 2020 r. w porównaniu </w:t>
      </w:r>
      <w:r w:rsidRPr="006A364A">
        <w:br/>
        <w:t>do prognozy zapotrzebowania na paliwa i energię.</w:t>
      </w:r>
    </w:p>
    <w:p w:rsidR="009B1A27" w:rsidRPr="006A364A" w:rsidRDefault="009B1A27" w:rsidP="009B1A27">
      <w:r w:rsidRPr="006A364A">
        <w:t>Dla Polski zostały wyznaczone następujące cele:</w:t>
      </w:r>
    </w:p>
    <w:p w:rsidR="009B1A27" w:rsidRPr="006A364A" w:rsidRDefault="009B1A27" w:rsidP="00AA7DC0">
      <w:pPr>
        <w:pStyle w:val="Akapitzlist"/>
        <w:numPr>
          <w:ilvl w:val="0"/>
          <w:numId w:val="10"/>
        </w:numPr>
      </w:pPr>
      <w:r w:rsidRPr="006A364A">
        <w:t>możliwość 14% wzrostu emisji w 2020 roku w porównaniu do 2005 roku w sektorach nieobjętych EU ETS (unijny system handlu uprawnieniami do emisji), kierując się wielkością Produktu Krajowego Brutto (PKB) na mieszkańca, niższą w Polsce od średniej w UE;</w:t>
      </w:r>
    </w:p>
    <w:p w:rsidR="009B1A27" w:rsidRPr="009B7CFE" w:rsidRDefault="009B1A27" w:rsidP="00AA7DC0">
      <w:pPr>
        <w:pStyle w:val="Akapitzlist"/>
        <w:numPr>
          <w:ilvl w:val="0"/>
          <w:numId w:val="10"/>
        </w:numPr>
      </w:pPr>
      <w:r w:rsidRPr="006A364A">
        <w:t xml:space="preserve">zwiększenie udziału energii ze źródeł odnawialnych do 15% w 2020 roku, zamiast 20% jak średnio w UE z uwagi na mniejsze zasoby i efektywność odnawialnych źródeł energii </w:t>
      </w:r>
      <w:r>
        <w:br/>
      </w:r>
      <w:r w:rsidRPr="006A364A">
        <w:t>w Polsce.</w:t>
      </w:r>
    </w:p>
    <w:p w:rsidR="009B1A27" w:rsidRPr="006A364A" w:rsidRDefault="009B1A27" w:rsidP="009B1A27">
      <w:pPr>
        <w:rPr>
          <w:b/>
        </w:rPr>
      </w:pPr>
      <w:r w:rsidRPr="006A364A">
        <w:rPr>
          <w:b/>
        </w:rPr>
        <w:lastRenderedPageBreak/>
        <w:t>Dyrektywa Parlamentu Europejskiego i Rady 2012/27/UE z dnia 25 października 2012 r. w</w:t>
      </w:r>
      <w:r w:rsidR="00B70A8F">
        <w:rPr>
          <w:b/>
        </w:rPr>
        <w:t> </w:t>
      </w:r>
      <w:r w:rsidRPr="006A364A">
        <w:rPr>
          <w:b/>
        </w:rPr>
        <w:t>sprawie efektywności energetycznej, zmiany dyrektyw 2009/125/WE i 2010/30/UE oraz uchylenia dyrektyw 2004/8/WE i 2006/32/WE</w:t>
      </w:r>
    </w:p>
    <w:p w:rsidR="009B1A27" w:rsidRPr="006A364A" w:rsidRDefault="009B1A27" w:rsidP="009B1A27">
      <w:r w:rsidRPr="006A364A">
        <w:t>Dyrektywa ustanawia wspólne ramy działań na rzecz promowania efektywności energetycznej w UE dla osiągnięcia jej celu – wzrostu efektywności energetycznej o 20% (zmniejszenie zużycia energii pierwotnej o 20%) do 2020 r. oraz utorowania drogi dla dalszej poprawy efektywności energetycznej po</w:t>
      </w:r>
      <w:r>
        <w:t> </w:t>
      </w:r>
      <w:r w:rsidRPr="006A364A">
        <w:t>tym terminie. Ponadto, określa zasady opracowane w celu usunięcia barier na rynku energii oraz przezwyciężenia nieprawidłowości w funkcjonowaniu rynku. Przewiduje również ustanowienie krajowych celów w zakresie efektywności energetycznej na rok 2020.</w:t>
      </w:r>
    </w:p>
    <w:p w:rsidR="009B1A27" w:rsidRPr="006A364A" w:rsidRDefault="009B1A27" w:rsidP="009B1A27">
      <w:r w:rsidRPr="006A364A">
        <w:t>Skutkiem wdrożenia dyrektywy powinien być 17% wzrost efektywności energetycznej do 2020 r., co stanowi wartość niższą niż 20% przewidziane w Pakiecie klimatyczno-energetycznym.</w:t>
      </w:r>
    </w:p>
    <w:p w:rsidR="009B1A27" w:rsidRPr="006A364A" w:rsidRDefault="009B1A27" w:rsidP="009B1A27">
      <w:r w:rsidRPr="006A364A">
        <w:t>Obowiązki państw członkowskich UE wynikające z Dyrektywy:</w:t>
      </w:r>
    </w:p>
    <w:p w:rsidR="009B1A27" w:rsidRPr="006A364A" w:rsidRDefault="009B1A27" w:rsidP="00AA7DC0">
      <w:pPr>
        <w:pStyle w:val="Akapitzlist"/>
        <w:numPr>
          <w:ilvl w:val="0"/>
          <w:numId w:val="11"/>
        </w:numPr>
      </w:pPr>
      <w:r w:rsidRPr="006A364A">
        <w:t>każde państwo członkowskie UE jest zobligowane do ustalenia orientacyjnej krajowej wartości docelowej w zakresie efektywności energetycznej, w oparciu o swoje zużycie energii pierwotnej lub końcowej, oszczędność energii pierwotnej lub końcowej bądź energochłonność</w:t>
      </w:r>
      <w:r>
        <w:t>,</w:t>
      </w:r>
    </w:p>
    <w:p w:rsidR="009B1A27" w:rsidRPr="006A364A" w:rsidRDefault="009B1A27" w:rsidP="00AA7DC0">
      <w:pPr>
        <w:pStyle w:val="Akapitzlist"/>
        <w:numPr>
          <w:ilvl w:val="0"/>
          <w:numId w:val="11"/>
        </w:numPr>
      </w:pPr>
      <w:r w:rsidRPr="006A364A">
        <w:t>do 30 czerwca 2014 r. Komisja Europejska dokona</w:t>
      </w:r>
      <w:r w:rsidR="00CE339D">
        <w:t>ć miała</w:t>
      </w:r>
      <w:r w:rsidRPr="006A364A">
        <w:t xml:space="preserve"> oceny osiągniętego postępu oraz stwierdzi</w:t>
      </w:r>
      <w:r w:rsidR="00CE339D">
        <w:t>ć</w:t>
      </w:r>
      <w:r w:rsidRPr="006A364A">
        <w:t xml:space="preserve"> prawdopodobieństwo osiągnięcia przez Unię zużycia energii na poziomie nie wyższym niż 1474 Mtoe energii pierwotnej lub nie wyższym niż 1078 Mtoe energii końcowej w 2020 r</w:t>
      </w:r>
      <w:r>
        <w:t>,</w:t>
      </w:r>
    </w:p>
    <w:p w:rsidR="009B1A27" w:rsidRPr="006A364A" w:rsidRDefault="009B1A27" w:rsidP="00AA7DC0">
      <w:pPr>
        <w:pStyle w:val="Akapitzlist"/>
        <w:numPr>
          <w:ilvl w:val="0"/>
          <w:numId w:val="11"/>
        </w:numPr>
      </w:pPr>
      <w:r w:rsidRPr="006A364A">
        <w:t>instytucje publiczne będą stanowić wzorzec poprzez zapewnienie przez państwa członkowskie, że od 1 stycznia 2014 r., 3% całkowitej powierzchni ogrzewanych i/lub chłodzonych budynków należących do instytucji rządowych lub przez nie zajmowanych będzie, co roku, podlegać renowacji do stanu odpowiadającego minimalnym standardom dla nowych budynków</w:t>
      </w:r>
      <w:r>
        <w:t>,</w:t>
      </w:r>
    </w:p>
    <w:p w:rsidR="009B1A27" w:rsidRPr="006A364A" w:rsidRDefault="009B1A27" w:rsidP="00AA7DC0">
      <w:pPr>
        <w:pStyle w:val="Akapitzlist"/>
        <w:numPr>
          <w:ilvl w:val="0"/>
          <w:numId w:val="11"/>
        </w:numPr>
      </w:pPr>
      <w:r w:rsidRPr="006A364A">
        <w:t xml:space="preserve">państwa członkowskie mają ustanowić długoterminowe strategie wspierania inwestycji </w:t>
      </w:r>
      <w:r w:rsidRPr="006A364A">
        <w:br/>
        <w:t>w renowację krajowych zasobów budynków mieszkaniowych i użytkowych zarówno publicznych, jak i prywatnych</w:t>
      </w:r>
      <w:r>
        <w:t>,</w:t>
      </w:r>
    </w:p>
    <w:p w:rsidR="009B1A27" w:rsidRPr="006A364A" w:rsidRDefault="009B1A27" w:rsidP="00AA7DC0">
      <w:pPr>
        <w:pStyle w:val="Akapitzlist"/>
        <w:numPr>
          <w:ilvl w:val="0"/>
          <w:numId w:val="11"/>
        </w:numPr>
      </w:pPr>
      <w:r w:rsidRPr="006A364A">
        <w:lastRenderedPageBreak/>
        <w:t xml:space="preserve">każde państwo członkowskie powinno ustanowić krajowe systemy zobowiązujące </w:t>
      </w:r>
      <w:r>
        <w:br/>
      </w:r>
      <w:r w:rsidRPr="006A364A">
        <w:t>do efektywności energetycznej, nakładające na dystrybutorów energii lub przedsiębiorstwa prowadzące detaliczną sprzedaż energii obowiązek osiągnięcia łącznego celu w zakresie oszczędności energii końcowej równego 1,5% wielkości rocznej sprzedaży energii do odbiorców końcowych</w:t>
      </w:r>
      <w:r>
        <w:t>,</w:t>
      </w:r>
    </w:p>
    <w:p w:rsidR="009B1A27" w:rsidRPr="006A364A" w:rsidRDefault="009B1A27" w:rsidP="00AA7DC0">
      <w:pPr>
        <w:pStyle w:val="Akapitzlist"/>
        <w:numPr>
          <w:ilvl w:val="0"/>
          <w:numId w:val="11"/>
        </w:numPr>
      </w:pPr>
      <w:r w:rsidRPr="006A364A">
        <w:t>państwa członkowskie są zobowiązane do umożliwienia końcowym odbiorcom energii dostępu do audytów energetycznych, nabycia po konkurencyjnych cenach indywidualnych liczników informujących o rzeczywistym zużyciu i czasie korzystania z</w:t>
      </w:r>
      <w:r w:rsidR="00B70A8F">
        <w:t> </w:t>
      </w:r>
      <w:r w:rsidRPr="006A364A">
        <w:t>energii (liczniki inteligentne)</w:t>
      </w:r>
      <w:r>
        <w:t>,</w:t>
      </w:r>
    </w:p>
    <w:p w:rsidR="009B1A27" w:rsidRPr="006A364A" w:rsidRDefault="009B1A27" w:rsidP="00AA7DC0">
      <w:pPr>
        <w:pStyle w:val="Akapitzlist"/>
        <w:numPr>
          <w:ilvl w:val="0"/>
          <w:numId w:val="11"/>
        </w:numPr>
      </w:pPr>
      <w:r w:rsidRPr="006A364A">
        <w:t>państwa członkowskie są zobligowane do podjęcia działań promujących i</w:t>
      </w:r>
      <w:r w:rsidR="00B70A8F">
        <w:t> </w:t>
      </w:r>
      <w:r w:rsidRPr="006A364A">
        <w:t>umożliwiających efektywne wykorzystanie energii przez małych odbiorców, w tym gospodarstwa domowe</w:t>
      </w:r>
      <w:r>
        <w:t>,</w:t>
      </w:r>
    </w:p>
    <w:p w:rsidR="009B1A27" w:rsidRPr="006A364A" w:rsidRDefault="009B1A27" w:rsidP="00AA7DC0">
      <w:pPr>
        <w:pStyle w:val="Akapitzlist"/>
        <w:numPr>
          <w:ilvl w:val="0"/>
          <w:numId w:val="11"/>
        </w:numPr>
      </w:pPr>
      <w:r w:rsidRPr="006A364A">
        <w:t>krajowe organy regulacyjne, poprzez opracowanie taryf sieciowych i regulacji dotyczących sieci, mają dostarczać operatorom sieci zachęt do udostępniania jej użytkownikom usług systemowych, umożliwiających wdrażanie środków do poprawy efektywności energetycznej w kontekście wdrażania inteligentnych sieci.</w:t>
      </w:r>
    </w:p>
    <w:p w:rsidR="009B1A27" w:rsidRPr="006A364A" w:rsidRDefault="009B1A27" w:rsidP="009B1A27">
      <w:pPr>
        <w:rPr>
          <w:b/>
        </w:rPr>
      </w:pPr>
      <w:r w:rsidRPr="006A364A">
        <w:rPr>
          <w:b/>
        </w:rPr>
        <w:t>Dyrektywa Parlamentu Europejskiego i Rady 2012/27/UE z dnia 25 października 2012 r. w</w:t>
      </w:r>
      <w:r w:rsidR="00B70A8F">
        <w:rPr>
          <w:b/>
        </w:rPr>
        <w:t> </w:t>
      </w:r>
      <w:r w:rsidRPr="006A364A">
        <w:rPr>
          <w:b/>
        </w:rPr>
        <w:t>sprawie efektywności energetycznej</w:t>
      </w:r>
    </w:p>
    <w:p w:rsidR="009B1A27" w:rsidRPr="006A364A" w:rsidRDefault="009B1A27" w:rsidP="009B1A27">
      <w:r w:rsidRPr="006A364A">
        <w:t>Dyrektywa poprzez ustanowienie wspólnej struktury ramowej w celu obniżenia o 20% zużycia energii pierwotnej w UE, stanowi istotny czynnik wpływający na powodzenie realizacji unijnej strategii energetycznej na rok 2020. Dokument wskazuje środki, pozwalające stworzyć odpowiednie warunki do poprawy efektywności energetycznej również po tym terminie. Ponadto, Dyrektywa określa zasady, na jakich powinien funkcjonować rynek energii tak, aby wyeliminować m.in. wszelkie nieprawidłowości ograniczające efektywność dostaw. Akt prawny przewiduje także ustanowienie krajowych celów w zakresie efektywności energetycznej na rok 2020. Skutkiem wdrożenia dyrektywy powinien być 17% wzrost efektywności energetycznej do 2020r., co stanowi wartość niższą niż 20% przewidziane w Pakiecie klimatyczno-energetycznym 20/20/20.</w:t>
      </w:r>
    </w:p>
    <w:p w:rsidR="009B1A27" w:rsidRPr="006A364A" w:rsidRDefault="009B1A27" w:rsidP="009B1A27">
      <w:pPr>
        <w:rPr>
          <w:b/>
        </w:rPr>
      </w:pPr>
      <w:r w:rsidRPr="006A364A">
        <w:rPr>
          <w:b/>
        </w:rPr>
        <w:t>Dyrektywa Parlamentu Europejskiego i Rady 2009/29/WE z dnia 23 kwietnia 2009 r. zmieniająca dyrektywę 2003/87/WE w celu usprawnienia i rozszerzenia wspólnotowego systemu handlu uprawnieniami do emisji gazów cieplarnianych</w:t>
      </w:r>
    </w:p>
    <w:p w:rsidR="009B1A27" w:rsidRPr="00215F42" w:rsidRDefault="009B1A27" w:rsidP="009B1A27">
      <w:r w:rsidRPr="006A364A">
        <w:lastRenderedPageBreak/>
        <w:t>Dyrektywa 2009/29/WE jest jednym z najistotniejszych elementów pakietu klimatyczno-energetycznego Unii Europejskiej, przyjętego w kwietniu 2009 r. Unia Europejska zobowiązała się w nim obniżyć do 2020 r. emisję gazów cieplarnianych przynajmniej do poziomu 20% poniżej wartości z 1990 r. W celu osiągnięcia takiego pułapu redukcji wyznaczono także inne cele, np. zwiększenie efektywności energetycznej o 20% do 2020 r., wzrost średniego udziału energii odnawialnych do 20% do 2020 r. w całej UE oraz osiągnięcie poziomu wykorzystania 10% biopaliw w sektorze transportu do</w:t>
      </w:r>
      <w:r>
        <w:t> </w:t>
      </w:r>
      <w:r w:rsidRPr="006A364A">
        <w:t>2020 r. Pakiet wzmacnia system handlu emisjami, obejmując wszystkie główne instalacje przemysłowe, oraz zdecydowanie zwiększa rolę sprzedaży aukcyjnej. W sektorach nieobjętych systemem ETS – takich jak budownictwo, transport, rolnictwo i gospodarka odpadami emisje mają ulec redukcji do 10% poniżej poziomu z 2005 r. do 2020 r. Ponadto założono wzmacnianie technologii wychwytywania i składowania dwutlenku węgla, obniżanie emisji CO</w:t>
      </w:r>
      <w:r w:rsidRPr="006A364A">
        <w:rPr>
          <w:vertAlign w:val="subscript"/>
        </w:rPr>
        <w:t>2</w:t>
      </w:r>
      <w:r w:rsidRPr="006A364A">
        <w:t xml:space="preserve"> z samochodów oraz wprowadzenie surowszych norm jakości paliw. Dyrektywa Parlamentu Europejskiego i Rady 2009/29/WE zwana jest dyrektywą post-Kioto, ponieważ odnosi się do okresu następującego po</w:t>
      </w:r>
      <w:r>
        <w:t> </w:t>
      </w:r>
      <w:r w:rsidRPr="006A364A">
        <w:t>pierwotnym terminie obowiązywania protokołu z Kioto. Akt ten przewiduje dalszą redukcję emisji gazów cieplarnianych, aby przyczynić się do osiągnięcia takich poziomów redukcji, które wg naukowców uważane są za konieczne do uniknięcia groźnych zmian klimatu.</w:t>
      </w:r>
    </w:p>
    <w:p w:rsidR="009B1A27" w:rsidRPr="00FE1C2E" w:rsidRDefault="009B1A27" w:rsidP="009B1A27">
      <w:pPr>
        <w:rPr>
          <w:b/>
        </w:rPr>
      </w:pPr>
      <w:r w:rsidRPr="00FE1C2E">
        <w:rPr>
          <w:b/>
        </w:rPr>
        <w:t>KrajowyProgramOchronyPowietrzadoroku2020(zperspektywądo2030)</w:t>
      </w:r>
    </w:p>
    <w:p w:rsidR="009B1A27" w:rsidRPr="00F524CD" w:rsidRDefault="009B1A27" w:rsidP="009B1A27">
      <w:pPr>
        <w:rPr>
          <w:rFonts w:cs="Calibri Light"/>
        </w:rPr>
      </w:pPr>
      <w:r>
        <w:rPr>
          <w:rFonts w:cs="Calibri Light"/>
        </w:rPr>
        <w:t>Celem głównym Krajowego Programu Ochrony Powietrza jest poprawa jakości życia mieszkańców Rzeczypospolitej Polskiej, szczególnie ochrona ich zdrowia i warunków życia, z</w:t>
      </w:r>
      <w:r w:rsidR="00B70A8F">
        <w:rPr>
          <w:rFonts w:cs="Calibri Light"/>
        </w:rPr>
        <w:t> </w:t>
      </w:r>
      <w:r>
        <w:rPr>
          <w:rFonts w:cs="Calibri Light"/>
        </w:rPr>
        <w:t>uwzględnieniem ochrony środowiska, z jednoczesnym zachowaniem zasad zrównoważonego rozwoju.</w:t>
      </w:r>
    </w:p>
    <w:p w:rsidR="009B1A27" w:rsidRPr="00FE1C2E" w:rsidRDefault="009B1A27" w:rsidP="009B1A27">
      <w:pPr>
        <w:rPr>
          <w:b/>
        </w:rPr>
      </w:pPr>
      <w:r w:rsidRPr="00FE1C2E">
        <w:rPr>
          <w:b/>
        </w:rPr>
        <w:t>PolitykaKlimatycznaPolski</w:t>
      </w:r>
    </w:p>
    <w:p w:rsidR="009B1A27" w:rsidRDefault="009B1A27" w:rsidP="009B1A27">
      <w:pPr>
        <w:rPr>
          <w:rFonts w:cs="Calibri Light"/>
        </w:rPr>
      </w:pPr>
      <w:r>
        <w:rPr>
          <w:rFonts w:cs="Calibri Light"/>
        </w:rPr>
        <w:t>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społecznych i politycznych”.</w:t>
      </w:r>
    </w:p>
    <w:p w:rsidR="009B1A27" w:rsidRPr="00FE1C2E" w:rsidRDefault="009B1A27" w:rsidP="009B1A27">
      <w:pPr>
        <w:rPr>
          <w:b/>
        </w:rPr>
      </w:pPr>
      <w:r w:rsidRPr="00FE1C2E">
        <w:rPr>
          <w:b/>
        </w:rPr>
        <w:t>PolitykaEkologicznaPaństwa</w:t>
      </w:r>
    </w:p>
    <w:p w:rsidR="009B1A27" w:rsidRDefault="009B1A27" w:rsidP="009B1A27">
      <w:pPr>
        <w:rPr>
          <w:rFonts w:cs="Calibri Light"/>
        </w:rPr>
      </w:pPr>
      <w:r>
        <w:rPr>
          <w:rFonts w:cs="Calibri Light"/>
        </w:rPr>
        <w:lastRenderedPageBreak/>
        <w:t>Głównym celem strategicznym jest doprowadzenie do sytuacji, w której projekty dokumentów strategicznych wszystkich sektorów gospodarki będą, zgodnie z obowiązującym w tym zakresie prawem, poddawane procedurze oceny oddziaływania na środowisko i wyniki tej oceny będą uwzględniane w ostatecznych wersjach tych dokumentów.</w:t>
      </w:r>
    </w:p>
    <w:p w:rsidR="009B1A27" w:rsidRPr="00FE1C2E" w:rsidRDefault="009B1A27" w:rsidP="009B1A27">
      <w:pPr>
        <w:rPr>
          <w:b/>
        </w:rPr>
      </w:pPr>
      <w:r w:rsidRPr="00FE1C2E">
        <w:rPr>
          <w:b/>
        </w:rPr>
        <w:t>DługookresowaStrategiaRozwojuKraju.Polska2030.TrzeciaFalaNowoczesności</w:t>
      </w:r>
    </w:p>
    <w:p w:rsidR="009B1A27" w:rsidRPr="00810DFC" w:rsidRDefault="009B1A27" w:rsidP="009B1A27">
      <w:pPr>
        <w:rPr>
          <w:b/>
          <w:color w:val="50A000"/>
        </w:rPr>
      </w:pPr>
      <w:r>
        <w:t xml:space="preserve">Dokument stanowi najszerszy i najbardziej ogólny element nowego systemu zarządzania rozwojem kraju. Celem głównym dokumentu jest poprawa jakości życia Polaków mierzona zarówno wskaźnikami jakościowymi, jak i wartością oraz tempem wzrostu PKB w Polsce. </w:t>
      </w:r>
    </w:p>
    <w:p w:rsidR="009B1A27" w:rsidRPr="00FE1C2E" w:rsidRDefault="009B1A27" w:rsidP="009B1A27">
      <w:pPr>
        <w:rPr>
          <w:b/>
        </w:rPr>
      </w:pPr>
      <w:r w:rsidRPr="00FE1C2E">
        <w:rPr>
          <w:b/>
        </w:rPr>
        <w:t>StrategiaBezpieczeństwoEnergetyczneiŚrodowisko-perspektywado2020r.</w:t>
      </w:r>
    </w:p>
    <w:p w:rsidR="009B1A27" w:rsidRPr="00AC7CFE" w:rsidRDefault="009B1A27" w:rsidP="009B1A27">
      <w:pPr>
        <w:spacing w:after="0"/>
        <w:rPr>
          <w:rFonts w:cs="Calibri Light"/>
        </w:rPr>
      </w:pPr>
      <w:r w:rsidRPr="00E35364">
        <w:rPr>
          <w:rFonts w:cs="Calibri Light"/>
        </w:rPr>
        <w:t>Strategia</w:t>
      </w:r>
      <w:r w:rsidRPr="00E35364">
        <w:rPr>
          <w:rFonts w:cs="Calibri Light"/>
          <w:i/>
        </w:rPr>
        <w:t>BezpieczeństwoEnergetyczneiŚrodowiska</w:t>
      </w:r>
      <w:r w:rsidRPr="00E35364">
        <w:rPr>
          <w:rFonts w:cs="Calibri Light"/>
        </w:rPr>
        <w:t>stanowijednąz9zintegrowanychstrategiirozwoju.Dokumentuszczegóławiazapisyprzyjęcia</w:t>
      </w:r>
      <w:bookmarkStart w:id="49" w:name="_Hlk484689292"/>
      <w:r w:rsidRPr="00E35364">
        <w:rPr>
          <w:rFonts w:cs="Calibri Light"/>
          <w:i/>
        </w:rPr>
        <w:t>StrategiinarzeczOdpowiedzialnegoRozwojudoroku2020(zperspektywądo2030r.)</w:t>
      </w:r>
      <w:r w:rsidRPr="00E35364">
        <w:rPr>
          <w:rFonts w:cs="Calibri Light"/>
        </w:rPr>
        <w:t>wdziedzinieenergetykiiśrodowiska</w:t>
      </w:r>
      <w:bookmarkEnd w:id="49"/>
      <w:r w:rsidRPr="00E35364">
        <w:rPr>
          <w:rFonts w:cs="Calibri Light"/>
        </w:rPr>
        <w:t>,atakżeprzedstawiaogólnąwytycznądla</w:t>
      </w:r>
      <w:r w:rsidRPr="00E35364">
        <w:rPr>
          <w:rFonts w:cs="Calibri Light"/>
          <w:i/>
        </w:rPr>
        <w:t>PolitykienergetycznejPolski</w:t>
      </w:r>
      <w:r w:rsidRPr="00E35364">
        <w:rPr>
          <w:rFonts w:cs="Calibri Light"/>
        </w:rPr>
        <w:t>iinnychprogramówrozwoju,którestanąsię</w:t>
      </w:r>
      <w:r>
        <w:rPr>
          <w:rFonts w:cs="Calibri Light"/>
        </w:rPr>
        <w:t> </w:t>
      </w:r>
      <w:r w:rsidRPr="00E35364">
        <w:rPr>
          <w:rFonts w:cs="Calibri Light"/>
        </w:rPr>
        <w:t>elementamisystemurealizacjiBEiŚ.PonadtoStrategiajestzgodnazcelamirozwojowymiokreślanyminapoziomiewspólnoty,zawartymiprzedewszystkimwdokumencie</w:t>
      </w:r>
      <w:r w:rsidRPr="00E35364">
        <w:rPr>
          <w:rFonts w:cs="Calibri Light"/>
          <w:i/>
        </w:rPr>
        <w:t>Europa2020–Strategianarzeczinteligentnegoizrównoważonegorozwoju</w:t>
      </w:r>
      <w:r w:rsidRPr="00E35364">
        <w:rPr>
          <w:rFonts w:cs="Calibri Light"/>
        </w:rPr>
        <w:t>sprzyjającegowłączeniuspołecznemuorazcelamipakietuklimatyczno-energetycznego.BEiŚjestpodstawądladalszychpracprogramowychi</w:t>
      </w:r>
      <w:r>
        <w:rPr>
          <w:rFonts w:cs="Calibri Light"/>
        </w:rPr>
        <w:t> </w:t>
      </w:r>
      <w:r w:rsidRPr="00E35364">
        <w:rPr>
          <w:rFonts w:cs="Calibri Light"/>
        </w:rPr>
        <w:t>wdrożeniowych,dotyczącychwszczególnościzagadnieńadaptacjidozmianklimatu,ochronyzasobównaturalnychiśrodowiskaprzyrodniczego,atakżebezpieczeństwaiefektywnościenergetycznej.</w:t>
      </w:r>
      <w:r w:rsidRPr="008F2037">
        <w:t>StrategiaBEiŚsłużyrównieżokreśleniucelówi</w:t>
      </w:r>
      <w:r w:rsidR="00B70A8F">
        <w:t> </w:t>
      </w:r>
      <w:r w:rsidRPr="008F2037">
        <w:t>kierunkówdziałańnowejperspektywyfinansowej2014-2020.</w:t>
      </w:r>
    </w:p>
    <w:p w:rsidR="009B1A27" w:rsidRPr="002D6DBF" w:rsidRDefault="009B1A27" w:rsidP="009B1A27">
      <w:pPr>
        <w:autoSpaceDE w:val="0"/>
        <w:autoSpaceDN w:val="0"/>
        <w:adjustRightInd w:val="0"/>
        <w:spacing w:after="0"/>
      </w:pPr>
      <w:r w:rsidRPr="008F2037">
        <w:t>GłównymcelemstrategiiBezpieczeństwoEnergetyczneiŚrodowiskojestzapewnieniewysokiejjakościżyciaobecnychiprzyszłychpokoleńzuwzględnieniemochronyśrodowiskaorazstworzeniewarunkówdozrównoważonegorozwojunowoczesnegosektoraenergetycznego,zdolnegozapewnićPolscebezpieczeństwoenergetyczneorazkonkurencyjnąiefektywnągospodarkę.</w:t>
      </w:r>
    </w:p>
    <w:p w:rsidR="009B1A27" w:rsidRPr="00E35364" w:rsidRDefault="009B1A27" w:rsidP="009B1A27">
      <w:pPr>
        <w:spacing w:after="0"/>
        <w:jc w:val="center"/>
        <w:rPr>
          <w:rFonts w:cs="Calibri Light"/>
        </w:rPr>
      </w:pPr>
      <w:r>
        <w:rPr>
          <w:noProof/>
          <w:lang w:eastAsia="pl-PL"/>
        </w:rPr>
        <w:lastRenderedPageBreak/>
        <w:drawing>
          <wp:inline distT="0" distB="0" distL="0" distR="0">
            <wp:extent cx="5010912" cy="4132967"/>
            <wp:effectExtent l="0" t="0" r="0" b="0"/>
            <wp:docPr id="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2"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912" cy="4132967"/>
                    </a:xfrm>
                    <a:prstGeom prst="rect">
                      <a:avLst/>
                    </a:prstGeom>
                    <a:noFill/>
                    <a:ln>
                      <a:noFill/>
                    </a:ln>
                  </pic:spPr>
                </pic:pic>
              </a:graphicData>
            </a:graphic>
          </wp:inline>
        </w:drawing>
      </w:r>
    </w:p>
    <w:p w:rsidR="009B1A27" w:rsidRPr="00E457E6" w:rsidRDefault="009B1A27" w:rsidP="009B1A27">
      <w:pPr>
        <w:pStyle w:val="Styl2"/>
        <w:spacing w:line="360" w:lineRule="auto"/>
      </w:pPr>
      <w:bookmarkStart w:id="50" w:name="_Toc523732373"/>
      <w:bookmarkStart w:id="51" w:name="_Toc524375237"/>
      <w:bookmarkStart w:id="52" w:name="_Toc524519417"/>
      <w:bookmarkStart w:id="53" w:name="_Toc525631659"/>
      <w:bookmarkStart w:id="54" w:name="_Toc526758909"/>
      <w:bookmarkStart w:id="55" w:name="_Toc528057761"/>
      <w:bookmarkStart w:id="56" w:name="_Toc528747992"/>
      <w:bookmarkStart w:id="57" w:name="_Toc535233328"/>
      <w:r w:rsidRPr="00E457E6">
        <w:t>3.2 Dokumenty wojewódzkie</w:t>
      </w:r>
      <w:bookmarkEnd w:id="50"/>
      <w:bookmarkEnd w:id="51"/>
      <w:bookmarkEnd w:id="52"/>
      <w:bookmarkEnd w:id="53"/>
      <w:bookmarkEnd w:id="54"/>
      <w:bookmarkEnd w:id="55"/>
      <w:bookmarkEnd w:id="56"/>
      <w:bookmarkEnd w:id="57"/>
    </w:p>
    <w:p w:rsidR="009B1A27" w:rsidRPr="00215F42" w:rsidRDefault="009B1A27" w:rsidP="009B1A27">
      <w:pPr>
        <w:rPr>
          <w:b/>
        </w:rPr>
      </w:pPr>
      <w:r w:rsidRPr="00215F42">
        <w:rPr>
          <w:b/>
        </w:rPr>
        <w:t>Program ochrony środowiska dla Województwa Mazowieckiego do 2022 r.</w:t>
      </w:r>
    </w:p>
    <w:p w:rsidR="009B1A27" w:rsidRDefault="009B1A27" w:rsidP="009B1A27">
      <w:r w:rsidRPr="00AA69A3">
        <w:t xml:space="preserve">Głównym celem </w:t>
      </w:r>
      <w:r>
        <w:t>p</w:t>
      </w:r>
      <w:r w:rsidRPr="00AA69A3">
        <w:t>rogramu jest dążenie do poprawy stanu środowiska w województwie,ograniczenie negatywnego wpływu zanieczyszczeń na środowisko, ochrona i rozwój walorów środowiska,a także racjonalne gospodarowanie jego zasobami.</w:t>
      </w:r>
    </w:p>
    <w:p w:rsidR="009B1A27" w:rsidRPr="00C95438" w:rsidRDefault="009B1A27" w:rsidP="009B1A27">
      <w:r w:rsidRPr="00C95438">
        <w:t>CeleikierunkiinterwencjiProgramuorazdziałaniazmierzającedopoprawystanuśrodowiskazostaływskazanewramachposzczególnychobszarówinterwencji:</w:t>
      </w:r>
    </w:p>
    <w:p w:rsidR="009B1A27" w:rsidRPr="002E780E" w:rsidRDefault="009B1A27" w:rsidP="00AA7DC0">
      <w:pPr>
        <w:pStyle w:val="Akapitzlist"/>
        <w:numPr>
          <w:ilvl w:val="0"/>
          <w:numId w:val="12"/>
        </w:numPr>
      </w:pPr>
      <w:r w:rsidRPr="002E780E">
        <w:t>Ochrona klimatu i jakości powietrza</w:t>
      </w:r>
      <w:r>
        <w:t>;</w:t>
      </w:r>
    </w:p>
    <w:p w:rsidR="009B1A27" w:rsidRPr="00215F42" w:rsidRDefault="009B1A27" w:rsidP="00AA7DC0">
      <w:pPr>
        <w:pStyle w:val="Akapitzlist"/>
        <w:numPr>
          <w:ilvl w:val="0"/>
          <w:numId w:val="12"/>
        </w:numPr>
        <w:rPr>
          <w:b/>
        </w:rPr>
      </w:pPr>
      <w:r w:rsidRPr="002E780E">
        <w:t>Zagrożenia hałasem</w:t>
      </w:r>
      <w:r>
        <w:t>;</w:t>
      </w:r>
    </w:p>
    <w:p w:rsidR="009B1A27" w:rsidRPr="002E780E" w:rsidRDefault="009B1A27" w:rsidP="00AA7DC0">
      <w:pPr>
        <w:pStyle w:val="Akapitzlist"/>
        <w:numPr>
          <w:ilvl w:val="0"/>
          <w:numId w:val="12"/>
        </w:numPr>
      </w:pPr>
      <w:r w:rsidRPr="002E780E">
        <w:t>Pola elektromagnetyczne</w:t>
      </w:r>
      <w:r>
        <w:t>;</w:t>
      </w:r>
    </w:p>
    <w:p w:rsidR="009B1A27" w:rsidRPr="002E780E" w:rsidRDefault="009B1A27" w:rsidP="00AA7DC0">
      <w:pPr>
        <w:pStyle w:val="Akapitzlist"/>
        <w:numPr>
          <w:ilvl w:val="0"/>
          <w:numId w:val="12"/>
        </w:numPr>
      </w:pPr>
      <w:r w:rsidRPr="002E780E">
        <w:t>Gospodarowanie wodami</w:t>
      </w:r>
      <w:r>
        <w:t>;</w:t>
      </w:r>
    </w:p>
    <w:p w:rsidR="009B1A27" w:rsidRPr="002E780E" w:rsidRDefault="009B1A27" w:rsidP="00AA7DC0">
      <w:pPr>
        <w:pStyle w:val="Akapitzlist"/>
        <w:numPr>
          <w:ilvl w:val="0"/>
          <w:numId w:val="12"/>
        </w:numPr>
      </w:pPr>
      <w:r w:rsidRPr="002E780E">
        <w:t>Gospodarka wodno-ściekowa</w:t>
      </w:r>
      <w:r>
        <w:t>;</w:t>
      </w:r>
    </w:p>
    <w:p w:rsidR="009B1A27" w:rsidRPr="002E780E" w:rsidRDefault="009B1A27" w:rsidP="00AA7DC0">
      <w:pPr>
        <w:pStyle w:val="Akapitzlist"/>
        <w:numPr>
          <w:ilvl w:val="0"/>
          <w:numId w:val="12"/>
        </w:numPr>
      </w:pPr>
      <w:r w:rsidRPr="002E780E">
        <w:t>Zasoby geologiczne</w:t>
      </w:r>
      <w:r>
        <w:t>;</w:t>
      </w:r>
    </w:p>
    <w:p w:rsidR="009B1A27" w:rsidRPr="002E780E" w:rsidRDefault="009B1A27" w:rsidP="00AA7DC0">
      <w:pPr>
        <w:pStyle w:val="Akapitzlist"/>
        <w:numPr>
          <w:ilvl w:val="0"/>
          <w:numId w:val="12"/>
        </w:numPr>
      </w:pPr>
      <w:r w:rsidRPr="002E780E">
        <w:t>Gleby</w:t>
      </w:r>
      <w:r>
        <w:t>;</w:t>
      </w:r>
    </w:p>
    <w:p w:rsidR="009B1A27" w:rsidRPr="002E780E" w:rsidRDefault="009B1A27" w:rsidP="00AA7DC0">
      <w:pPr>
        <w:pStyle w:val="Akapitzlist"/>
        <w:numPr>
          <w:ilvl w:val="0"/>
          <w:numId w:val="12"/>
        </w:numPr>
      </w:pPr>
      <w:r w:rsidRPr="002E780E">
        <w:lastRenderedPageBreak/>
        <w:t>Gospodarka odpadami i zapobieganie powstawaniu odpadów</w:t>
      </w:r>
      <w:r>
        <w:t>;</w:t>
      </w:r>
    </w:p>
    <w:p w:rsidR="009B1A27" w:rsidRPr="002E780E" w:rsidRDefault="009B1A27" w:rsidP="00AA7DC0">
      <w:pPr>
        <w:pStyle w:val="Akapitzlist"/>
        <w:numPr>
          <w:ilvl w:val="0"/>
          <w:numId w:val="12"/>
        </w:numPr>
      </w:pPr>
      <w:r w:rsidRPr="002E780E">
        <w:t>Zasoby przyrodnicze</w:t>
      </w:r>
      <w:r>
        <w:t>;</w:t>
      </w:r>
    </w:p>
    <w:p w:rsidR="009B1A27" w:rsidRPr="002E780E" w:rsidRDefault="009B1A27" w:rsidP="00AA7DC0">
      <w:pPr>
        <w:pStyle w:val="Akapitzlist"/>
        <w:numPr>
          <w:ilvl w:val="0"/>
          <w:numId w:val="12"/>
        </w:numPr>
      </w:pPr>
      <w:r w:rsidRPr="002E780E">
        <w:t>Zagrożenia poważnymi awariami</w:t>
      </w:r>
      <w:r>
        <w:t>.</w:t>
      </w:r>
    </w:p>
    <w:p w:rsidR="009B1A27" w:rsidRDefault="009B1A27" w:rsidP="009B1A27">
      <w:r>
        <w:t>W ramach obszaru Ochrona klimatu i jakości powietrza wskazano następujące cele szczegółowe:</w:t>
      </w:r>
    </w:p>
    <w:p w:rsidR="009B1A27" w:rsidRPr="002E780E" w:rsidRDefault="009B1A27" w:rsidP="00AA7DC0">
      <w:pPr>
        <w:pStyle w:val="Akapitzlist"/>
        <w:numPr>
          <w:ilvl w:val="0"/>
          <w:numId w:val="13"/>
        </w:numPr>
      </w:pPr>
      <w:r w:rsidRPr="002E780E">
        <w:t xml:space="preserve">OP.I. Poprawa jakości powietrza przy zapewnieniu bezpieczeństwa energetycznego </w:t>
      </w:r>
      <w:r w:rsidRPr="002E780E">
        <w:br/>
        <w:t>w kontekście zmian klimatu</w:t>
      </w:r>
      <w:r>
        <w:t>,</w:t>
      </w:r>
    </w:p>
    <w:p w:rsidR="009B1A27" w:rsidRPr="002E780E" w:rsidRDefault="009B1A27" w:rsidP="00AA7DC0">
      <w:pPr>
        <w:pStyle w:val="Akapitzlist"/>
        <w:numPr>
          <w:ilvl w:val="0"/>
          <w:numId w:val="13"/>
        </w:numPr>
      </w:pPr>
      <w:r w:rsidRPr="002E780E">
        <w:t>OP.II. Osiągnięcie poziomu celu długoterminowego dla ozonu</w:t>
      </w:r>
      <w:r>
        <w:t>.</w:t>
      </w:r>
    </w:p>
    <w:p w:rsidR="009B1A27" w:rsidRDefault="009B1A27" w:rsidP="009B1A27">
      <w:r>
        <w:t>W dokumencie wskazano również główne problemy stanu powietrza atmosferycznego na terenie województwa jakim są m.in. systemy ogrzewania indywidualnego oparte na spalaniu paliw stałych w kotłach o niskiej efektywności − emisja zanieczyszczeń pyłowych i gazowych − przekroczenia dopuszczalnych poziomów pyłów zawieszonych i benzo(a)pirenu.</w:t>
      </w:r>
    </w:p>
    <w:p w:rsidR="009B1A27" w:rsidRPr="00B86210" w:rsidRDefault="009B1A27" w:rsidP="009B1A27">
      <w:pPr>
        <w:rPr>
          <w:i/>
        </w:rPr>
      </w:pPr>
      <w:r w:rsidRPr="00215F42">
        <w:rPr>
          <w:rFonts w:cstheme="majorHAnsi"/>
        </w:rPr>
        <w:t>P</w:t>
      </w:r>
      <w:r>
        <w:t xml:space="preserve">ONE dla </w:t>
      </w:r>
      <w:r w:rsidR="008329EC">
        <w:t xml:space="preserve">Miasta Mława </w:t>
      </w:r>
      <w:r>
        <w:t xml:space="preserve">jest spójne z zapisami </w:t>
      </w:r>
      <w:r w:rsidRPr="00C95438">
        <w:rPr>
          <w:i/>
        </w:rPr>
        <w:t>Programuochronyśrodowiska</w:t>
      </w:r>
      <w:r>
        <w:rPr>
          <w:i/>
        </w:rPr>
        <w:t xml:space="preserve"> dla Województwa Mazowieckiego do 2022 r.</w:t>
      </w:r>
    </w:p>
    <w:p w:rsidR="009B1A27" w:rsidRDefault="009B1A27" w:rsidP="009B1A27">
      <w:pPr>
        <w:tabs>
          <w:tab w:val="left" w:pos="3375"/>
        </w:tabs>
        <w:rPr>
          <w:rFonts w:cstheme="majorHAnsi"/>
          <w:b/>
          <w:bCs/>
        </w:rPr>
      </w:pPr>
      <w:r>
        <w:rPr>
          <w:rFonts w:cstheme="majorHAnsi"/>
          <w:b/>
          <w:bCs/>
        </w:rPr>
        <w:t xml:space="preserve">Programy Ochrony Powietrza </w:t>
      </w:r>
    </w:p>
    <w:p w:rsidR="009B1A27" w:rsidRDefault="009B1A27" w:rsidP="009B1A27">
      <w:r w:rsidRPr="00F9259C">
        <w:t xml:space="preserve">Obowiązek określania programów ochrony powietrza wynika z art. 91 ustawy z 27 kwietnia 2001 r. Prawo ochrony środowiska (Dz. U. </w:t>
      </w:r>
      <w:r>
        <w:t>2018 poz. 799</w:t>
      </w:r>
      <w:r w:rsidRPr="00F9259C">
        <w:t>).Programy ochrony powietrza określa się dla stref, w których poziom choćby jednej substancji przekracza poziom dopuszczalny powiększony o margines tolerancji lub poziom docelowy.</w:t>
      </w:r>
    </w:p>
    <w:p w:rsidR="009B1A27" w:rsidRDefault="008329EC" w:rsidP="009B1A27">
      <w:r>
        <w:t>Mława</w:t>
      </w:r>
      <w:r w:rsidR="009B1A27">
        <w:t xml:space="preserve"> należy do mazowieckiej strefy ochrony powietrza, w której stwierdzono przekroczenia następujących substancji: PM10, PM2,5, B(a)P oraz O</w:t>
      </w:r>
      <w:r w:rsidR="009B1A27" w:rsidRPr="00235703">
        <w:rPr>
          <w:vertAlign w:val="subscript"/>
        </w:rPr>
        <w:t>3</w:t>
      </w:r>
      <w:r w:rsidR="009B1A27">
        <w:t>. W związku z powyższym dla strefy mazowieckiej opracowano następujące programy ochrony powietrza:</w:t>
      </w:r>
    </w:p>
    <w:p w:rsidR="009B1A27" w:rsidRDefault="009B1A27" w:rsidP="00AA7DC0">
      <w:pPr>
        <w:pStyle w:val="Akapitzlist"/>
        <w:numPr>
          <w:ilvl w:val="0"/>
          <w:numId w:val="14"/>
        </w:numPr>
      </w:pPr>
      <w:r w:rsidRPr="00235703">
        <w:t>Program ochrony powietrza dla strefy mazowieckiej,w której został przekroczony poziom dopuszczalny pyłu zawieszonego PM10 i pyłu zawieszonego PM2,5 w powietrzu</w:t>
      </w:r>
      <w:r>
        <w:t>;</w:t>
      </w:r>
    </w:p>
    <w:p w:rsidR="009B1A27" w:rsidRDefault="009B1A27" w:rsidP="00AA7DC0">
      <w:pPr>
        <w:pStyle w:val="Akapitzlist"/>
        <w:numPr>
          <w:ilvl w:val="0"/>
          <w:numId w:val="14"/>
        </w:numPr>
      </w:pPr>
      <w:r w:rsidRPr="000B5A09">
        <w:t>Program ochrony powietrza dla stref województwa mazowieckiego, w których został przekroczony poziom docelowy benzo(a)pirenu w powietrzu</w:t>
      </w:r>
      <w:r>
        <w:t>;</w:t>
      </w:r>
    </w:p>
    <w:p w:rsidR="009B1A27" w:rsidRPr="00596260" w:rsidRDefault="009B1A27" w:rsidP="00AA7DC0">
      <w:pPr>
        <w:pStyle w:val="Akapitzlist"/>
        <w:numPr>
          <w:ilvl w:val="0"/>
          <w:numId w:val="14"/>
        </w:numPr>
      </w:pPr>
      <w:r w:rsidRPr="000B5A09">
        <w:lastRenderedPageBreak/>
        <w:t>Plan działań krótkoterminowych dla strefy mazowieckiej, w której istnieje ryzyko wystąpienia przekroczenia poziomu alarmowego i poziomu docelowego ozonu w</w:t>
      </w:r>
      <w:r w:rsidR="00B70A8F">
        <w:t> </w:t>
      </w:r>
      <w:r w:rsidRPr="000B5A09">
        <w:t>powietrzu</w:t>
      </w:r>
      <w:r>
        <w:t>.</w:t>
      </w:r>
    </w:p>
    <w:p w:rsidR="009B1A27" w:rsidRPr="00215F42" w:rsidRDefault="009B1A27" w:rsidP="009B1A27">
      <w:pPr>
        <w:rPr>
          <w:b/>
        </w:rPr>
      </w:pPr>
      <w:r w:rsidRPr="00215F42">
        <w:rPr>
          <w:b/>
        </w:rPr>
        <w:t>Uchwała 162/17 Sejmiku Województwa Mazowieckiego z dnia 24 października 2017 r. w</w:t>
      </w:r>
      <w:r w:rsidR="00B70A8F">
        <w:rPr>
          <w:b/>
        </w:rPr>
        <w:t> </w:t>
      </w:r>
      <w:r w:rsidRPr="00215F42">
        <w:rPr>
          <w:b/>
        </w:rPr>
        <w:t>sprawie wprowadzenia na obszarze województwa mazowieckiego ograniczeń i zakazów w</w:t>
      </w:r>
      <w:r w:rsidR="00B70A8F">
        <w:rPr>
          <w:b/>
        </w:rPr>
        <w:t> </w:t>
      </w:r>
      <w:r w:rsidRPr="00215F42">
        <w:rPr>
          <w:b/>
        </w:rPr>
        <w:t>zakresie eksploatacji instalacji, w których następuje spalanie paliw (tzw. „uchwała antysmogowa”).</w:t>
      </w:r>
    </w:p>
    <w:p w:rsidR="009B1A27" w:rsidRDefault="009B1A27" w:rsidP="009B1A27">
      <w:pPr>
        <w:rPr>
          <w:rFonts w:cs="Calibri Light"/>
          <w:color w:val="000000" w:themeColor="text1"/>
        </w:rPr>
      </w:pPr>
      <w:r>
        <w:t>W celu zapobieżenia negatywnemu oddziaływaniu na zdrowie ludzi i na środowisko wprowadzono, w granicach administracyjnych województwa mazowieckiego, ograniczenia i</w:t>
      </w:r>
      <w:r w:rsidR="00B70A8F">
        <w:t> </w:t>
      </w:r>
      <w:r>
        <w:t>zakazy obejmujące cały rok kalendarzowy określone ww. uchwałą.</w:t>
      </w:r>
    </w:p>
    <w:p w:rsidR="009B1A27" w:rsidRDefault="009B1A27" w:rsidP="009B1A27">
      <w:pPr>
        <w:rPr>
          <w:rFonts w:cs="Calibri Light"/>
          <w:color w:val="000000" w:themeColor="text1"/>
        </w:rPr>
      </w:pPr>
      <w:r>
        <w:rPr>
          <w:rFonts w:cs="Calibri Light"/>
          <w:color w:val="000000" w:themeColor="text1"/>
        </w:rPr>
        <w:t>Z dniem 1 lipca 2018 r. wszedł w życie §4 niniejszej ustawy, który zakazuje stosowania następujących paliw:</w:t>
      </w:r>
    </w:p>
    <w:p w:rsidR="009B1A27" w:rsidRPr="007B75DC" w:rsidRDefault="009B1A27" w:rsidP="00AA7DC0">
      <w:pPr>
        <w:pStyle w:val="Akapitzlist"/>
        <w:numPr>
          <w:ilvl w:val="0"/>
          <w:numId w:val="8"/>
        </w:numPr>
        <w:spacing w:after="200"/>
        <w:rPr>
          <w:rFonts w:cs="Calibri Light"/>
          <w:color w:val="000000" w:themeColor="text1"/>
        </w:rPr>
      </w:pPr>
      <w:r w:rsidRPr="007B75DC">
        <w:rPr>
          <w:rFonts w:cs="Calibri Light"/>
          <w:color w:val="000000" w:themeColor="text1"/>
        </w:rPr>
        <w:t>mułów i flotokoncentratów węglowych oraz mieszanek produkowanych z ich wykorzystaniem;</w:t>
      </w:r>
    </w:p>
    <w:p w:rsidR="009B1A27" w:rsidRPr="007B75DC" w:rsidRDefault="009B1A27" w:rsidP="00AA7DC0">
      <w:pPr>
        <w:pStyle w:val="Akapitzlist"/>
        <w:numPr>
          <w:ilvl w:val="0"/>
          <w:numId w:val="8"/>
        </w:numPr>
        <w:spacing w:after="200"/>
        <w:rPr>
          <w:rFonts w:cs="Calibri Light"/>
          <w:color w:val="000000" w:themeColor="text1"/>
        </w:rPr>
      </w:pPr>
      <w:r w:rsidRPr="007B75DC">
        <w:rPr>
          <w:rFonts w:cs="Calibri Light"/>
          <w:color w:val="000000" w:themeColor="text1"/>
        </w:rPr>
        <w:t>węgla brunatnego oraz paliw stałych produkowanych z wykorzystaniem tego węgla;</w:t>
      </w:r>
    </w:p>
    <w:p w:rsidR="009B1A27" w:rsidRPr="007B75DC" w:rsidRDefault="009B1A27" w:rsidP="00AA7DC0">
      <w:pPr>
        <w:pStyle w:val="Akapitzlist"/>
        <w:numPr>
          <w:ilvl w:val="0"/>
          <w:numId w:val="8"/>
        </w:numPr>
        <w:spacing w:after="200"/>
        <w:rPr>
          <w:rFonts w:cs="Calibri Light"/>
          <w:color w:val="000000" w:themeColor="text1"/>
        </w:rPr>
      </w:pPr>
      <w:r w:rsidRPr="007B75DC">
        <w:rPr>
          <w:rFonts w:cs="Calibri Light"/>
          <w:color w:val="000000" w:themeColor="text1"/>
        </w:rPr>
        <w:t>węgla kamiennego w postaci sypkiej o uziarnieniu 0-3 mm;</w:t>
      </w:r>
    </w:p>
    <w:p w:rsidR="009B1A27" w:rsidRDefault="009B1A27" w:rsidP="00AA7DC0">
      <w:pPr>
        <w:pStyle w:val="Akapitzlist"/>
        <w:numPr>
          <w:ilvl w:val="0"/>
          <w:numId w:val="8"/>
        </w:numPr>
        <w:spacing w:after="200"/>
        <w:rPr>
          <w:rFonts w:cs="Calibri Light"/>
          <w:color w:val="000000" w:themeColor="text1"/>
        </w:rPr>
      </w:pPr>
      <w:r w:rsidRPr="007B75DC">
        <w:rPr>
          <w:rFonts w:cs="Calibri Light"/>
          <w:color w:val="000000" w:themeColor="text1"/>
        </w:rPr>
        <w:t>paliw zawierających biomasę o wilgotności w stanie roboczym powyżej 20%.</w:t>
      </w:r>
    </w:p>
    <w:p w:rsidR="00B70A8F" w:rsidRDefault="009B1A27" w:rsidP="00B70A8F">
      <w:r w:rsidRPr="0038240A">
        <w:rPr>
          <w:rFonts w:cs="Calibri Light"/>
          <w:color w:val="000000" w:themeColor="text1"/>
        </w:rPr>
        <w:t>Kupując paliwo na opał, mieszkańcy Mazowsza powinni domagać się od sprzedawców certyfikatów/dokumentów potwierdzających (na piśmie) odpowiednie parametry zakupionego towaru. Zakup powinien być udokumentowany dowodem sprzedaży (paragonem lub fakturą).</w:t>
      </w:r>
      <w:bookmarkStart w:id="58" w:name="_Toc526758911"/>
      <w:bookmarkStart w:id="59" w:name="_Toc528057763"/>
      <w:bookmarkStart w:id="60" w:name="_Toc528747994"/>
      <w:bookmarkStart w:id="61" w:name="_Toc535233329"/>
      <w:bookmarkStart w:id="62" w:name="_Hlk526753281"/>
    </w:p>
    <w:p w:rsidR="009B1A27" w:rsidRPr="00B70A8F" w:rsidRDefault="009B1A27" w:rsidP="00B70A8F">
      <w:pPr>
        <w:pStyle w:val="Styl2"/>
        <w:rPr>
          <w:rFonts w:cs="Calibri Light"/>
          <w:color w:val="000000" w:themeColor="text1"/>
        </w:rPr>
      </w:pPr>
      <w:r w:rsidRPr="00214F4F">
        <w:t xml:space="preserve">3.4 Dokumenty </w:t>
      </w:r>
      <w:bookmarkEnd w:id="58"/>
      <w:bookmarkEnd w:id="59"/>
      <w:bookmarkEnd w:id="60"/>
      <w:r w:rsidR="005574F7">
        <w:t>lokalne</w:t>
      </w:r>
      <w:bookmarkEnd w:id="61"/>
    </w:p>
    <w:p w:rsidR="00276672" w:rsidRPr="00450732" w:rsidRDefault="00276672" w:rsidP="00276672">
      <w:pPr>
        <w:rPr>
          <w:b/>
        </w:rPr>
      </w:pPr>
      <w:bookmarkStart w:id="63" w:name="_Toc528747995"/>
      <w:bookmarkEnd w:id="62"/>
      <w:r w:rsidRPr="00450732">
        <w:rPr>
          <w:b/>
        </w:rPr>
        <w:t>Gminny Program Rewitalizacji Miasta Mława na lata 2016-2025</w:t>
      </w:r>
    </w:p>
    <w:p w:rsidR="00276672" w:rsidRDefault="00276672" w:rsidP="00276672">
      <w:r>
        <w:t>Celem głównym programu jest wyprowadzenie ze stanu kryzysu obszaru rewitalizacji poprzez eliminację lub ograniczenie negatywnych zjawisk.</w:t>
      </w:r>
    </w:p>
    <w:p w:rsidR="00544905" w:rsidRDefault="00D80463" w:rsidP="00276672">
      <w:r>
        <w:t xml:space="preserve">Ochrona jakości powietrza </w:t>
      </w:r>
      <w:r w:rsidR="00544905">
        <w:t>powiązana</w:t>
      </w:r>
      <w:r>
        <w:t xml:space="preserve"> jest bezpośrednio z cel</w:t>
      </w:r>
      <w:r w:rsidR="00021F2D">
        <w:t>ami</w:t>
      </w:r>
      <w:r w:rsidR="00276672">
        <w:t>operacyjn</w:t>
      </w:r>
      <w:r>
        <w:t>y</w:t>
      </w:r>
      <w:r w:rsidR="00021F2D">
        <w:t>mi</w:t>
      </w:r>
      <w:r w:rsidR="00276672">
        <w:t xml:space="preserve"> nr 3</w:t>
      </w:r>
      <w:r w:rsidR="00544905">
        <w:t xml:space="preserve"> oraz 5.</w:t>
      </w:r>
    </w:p>
    <w:p w:rsidR="00D80463" w:rsidRDefault="00544905" w:rsidP="00276672">
      <w:r>
        <w:t xml:space="preserve">Cel nr 3: </w:t>
      </w:r>
      <w:r w:rsidR="00CE339D">
        <w:t>związany jest</w:t>
      </w:r>
      <w:r>
        <w:t xml:space="preserve"> z p</w:t>
      </w:r>
      <w:r w:rsidR="00276672">
        <w:t>odniesienie</w:t>
      </w:r>
      <w:r>
        <w:t>m</w:t>
      </w:r>
      <w:r w:rsidR="00276672">
        <w:t xml:space="preserve"> jakości środowiska naturalnego</w:t>
      </w:r>
      <w:r>
        <w:t>.W</w:t>
      </w:r>
      <w:r w:rsidR="00D80463">
        <w:t xml:space="preserve"> ramach </w:t>
      </w:r>
      <w:r>
        <w:t xml:space="preserve">działania </w:t>
      </w:r>
      <w:r w:rsidR="00D80463">
        <w:t>wyznaczone są następującek</w:t>
      </w:r>
      <w:r w:rsidR="00276672">
        <w:t>ierunki</w:t>
      </w:r>
      <w:r>
        <w:t>:</w:t>
      </w:r>
    </w:p>
    <w:p w:rsidR="00D80463" w:rsidRDefault="00276672" w:rsidP="00276672">
      <w:r>
        <w:lastRenderedPageBreak/>
        <w:t xml:space="preserve">a) działania na rzecz poprawy jakości powietrza (ekologiczne źródła ciepła, transport zbiorowy), </w:t>
      </w:r>
    </w:p>
    <w:p w:rsidR="00D80463" w:rsidRDefault="00276672" w:rsidP="00276672">
      <w:r>
        <w:t xml:space="preserve">b) edukacja ekologiczna, </w:t>
      </w:r>
    </w:p>
    <w:p w:rsidR="00276672" w:rsidRDefault="00276672" w:rsidP="00276672">
      <w:r>
        <w:t>c) wsparcie w zakresie stosowania ekologicznych technologii (zielona energia, odnawialne źródła).</w:t>
      </w:r>
    </w:p>
    <w:p w:rsidR="00276672" w:rsidRDefault="00544905" w:rsidP="00276672">
      <w:r>
        <w:t>Program zakłada p</w:t>
      </w:r>
      <w:r w:rsidR="00276672">
        <w:t>opraw</w:t>
      </w:r>
      <w:r>
        <w:t xml:space="preserve">ę </w:t>
      </w:r>
      <w:r w:rsidR="00276672">
        <w:t>jakoś</w:t>
      </w:r>
      <w:r>
        <w:t>ci</w:t>
      </w:r>
      <w:r w:rsidR="00276672">
        <w:t xml:space="preserve"> powietrza</w:t>
      </w:r>
      <w:r w:rsidR="00021F2D">
        <w:t xml:space="preserve">, w zakresie </w:t>
      </w:r>
      <w:r w:rsidR="00276672">
        <w:t>korzystani</w:t>
      </w:r>
      <w:r w:rsidR="00021F2D">
        <w:t>a</w:t>
      </w:r>
      <w:r w:rsidR="00276672">
        <w:t xml:space="preserve"> z ekologicznych technologii</w:t>
      </w:r>
      <w:r w:rsidR="00021F2D">
        <w:t xml:space="preserve">, co </w:t>
      </w:r>
      <w:r w:rsidR="00276672">
        <w:t xml:space="preserve">zaowocuje </w:t>
      </w:r>
      <w:r w:rsidR="00021F2D">
        <w:t>zmniejszeniem</w:t>
      </w:r>
      <w:r w:rsidR="00276672">
        <w:t xml:space="preserve"> emisji zanieczyszczenia powietrza</w:t>
      </w:r>
      <w:r w:rsidR="00021F2D">
        <w:t xml:space="preserve"> i</w:t>
      </w:r>
      <w:r w:rsidR="00276672">
        <w:t xml:space="preserve"> zmierzone </w:t>
      </w:r>
      <w:r w:rsidR="00021F2D">
        <w:t xml:space="preserve">zostanie </w:t>
      </w:r>
      <w:r w:rsidR="00276672">
        <w:t>liczbą budynków, które zmieniły źródła ogrzewania na bardziej ekologiczne (niskoemisyjne). Powyższy sposób pomiaru rezultatu projektu zmierzy również wpływ projektu na realizację celów programu, ponieważ taki sposób pomiaru został przewidziany w systemie monitorowania programu w części 11 GPRMM. Ponadto do poprawy jakości powietrza przyczyni się wzrost świadomości ekologicznej mieszkańców miasta na temat wykorzystywania źródeł energii odnawialnej, co zostanie zmierzone na podstawie ankiety ewaluacyjnej wśród mieszkańców. Rezultatem projektu będzie wykształcenie zawodowców w zakresie nowych technologii ekologicznych w wyniku uruchomienia nowych kierunków zawodowych: a) technik urządzeń i</w:t>
      </w:r>
      <w:r w:rsidR="00B70A8F">
        <w:t> </w:t>
      </w:r>
      <w:r w:rsidR="00276672">
        <w:t>systemów energetyki odnawialnej b) technik informatyk c) technik budownictwa d) technik logistyk Rezultat będzie mierzony na podstawie Systemu Informacji Oświatowej.</w:t>
      </w:r>
    </w:p>
    <w:p w:rsidR="00276672" w:rsidRDefault="00276672" w:rsidP="00276672">
      <w:r>
        <w:t>Rezultatem projektu będą</w:t>
      </w:r>
      <w:r w:rsidR="00544905">
        <w:t xml:space="preserve"> także</w:t>
      </w:r>
      <w:r>
        <w:t xml:space="preserve"> lepsze warunki mieszkaniowe grupy docelowej, mieszkania w</w:t>
      </w:r>
      <w:r w:rsidR="00B70A8F">
        <w:t> </w:t>
      </w:r>
      <w:r>
        <w:t>wyremontowanym budynku będą mieć wyższy standard i estetykę, co zostanie zmierzone wzrostem liczby budynków mieszkalnych, w których podniósł się ich standard (w oparciu o</w:t>
      </w:r>
      <w:r w:rsidR="00B70A8F">
        <w:t> </w:t>
      </w:r>
      <w:r>
        <w:t>parametry analizowane w diagnozie: ogrzewanie, dostęp do ciepłej wody, gaz, łazienka, wc) oraz liczbą budynków, których estetyka poprawiła się (na podstawie badania jakościowego: ocena budynków przed i po realizacji projektu). Zmiana sposobu ogrzewania na gazowe zaowocuje rezultatem w postaci zmniejszenia emisji zanieczyszczenia powietrza, co zostanie zmierzone liczbą budynków, które zmieniły źródła ogrzewania na bardziej ekologiczne (niskoemisyjne). Dodatkowo projekt będzie oddziaływał pozytywnie na atrakcyjność osadniczą obszaru rewitalizacji nr 2 poprzez poprawę estetyki obszaru, co pomoże spowolnić odpływ mieszkańców z obszarów rewitalizacji.</w:t>
      </w:r>
    </w:p>
    <w:p w:rsidR="00544905" w:rsidRDefault="00544905" w:rsidP="00544905">
      <w:r>
        <w:lastRenderedPageBreak/>
        <w:t>Cel nr 5</w:t>
      </w:r>
      <w:r w:rsidR="00276672">
        <w:t xml:space="preserve"> Cieplej taniej Graniczna 84/2</w:t>
      </w:r>
      <w:r>
        <w:t xml:space="preserve"> zakłada</w:t>
      </w:r>
      <w:r w:rsidR="00276672">
        <w:t xml:space="preserve"> popraw</w:t>
      </w:r>
      <w:r>
        <w:t>ę</w:t>
      </w:r>
      <w:r w:rsidR="00276672">
        <w:t xml:space="preserve"> warunków mieszkaniowych w obszarze rewitalizacji poprzez podniesienie poziomu technicznego oraz poprawę estetyki budynków wielorodzinnych. </w:t>
      </w:r>
    </w:p>
    <w:p w:rsidR="00544905" w:rsidRDefault="00276672" w:rsidP="00544905">
      <w:r>
        <w:t xml:space="preserve">Zakres rzeczowy </w:t>
      </w:r>
      <w:r w:rsidR="00544905">
        <w:t>zadań to</w:t>
      </w:r>
      <w:r>
        <w:t xml:space="preserve">: </w:t>
      </w:r>
    </w:p>
    <w:p w:rsidR="00544905" w:rsidRDefault="00276672" w:rsidP="00544905">
      <w:r>
        <w:t xml:space="preserve">a) ociepleniu budynku płytami styropianowymi, </w:t>
      </w:r>
    </w:p>
    <w:p w:rsidR="00544905" w:rsidRDefault="00276672" w:rsidP="00544905">
      <w:r>
        <w:t xml:space="preserve">b) wykonaniu tynku cienkowarstwowego (struktury), </w:t>
      </w:r>
    </w:p>
    <w:p w:rsidR="00544905" w:rsidRDefault="00276672" w:rsidP="00544905">
      <w:r>
        <w:t xml:space="preserve">c) wykonaniu izolacji pionowej ścian fundamentowych w części niepodpiwniczonej budynku, </w:t>
      </w:r>
    </w:p>
    <w:p w:rsidR="00544905" w:rsidRDefault="00276672" w:rsidP="00544905">
      <w:r>
        <w:t xml:space="preserve">d) wykonaniu nowej opaski wokół budynku, </w:t>
      </w:r>
    </w:p>
    <w:p w:rsidR="00544905" w:rsidRDefault="00276672" w:rsidP="00544905">
      <w:r>
        <w:t xml:space="preserve">e) poprowadzeniu przyłącza gazowego do budynku, wykonaniu wewnętrznej instalacji gazowej, </w:t>
      </w:r>
    </w:p>
    <w:p w:rsidR="00544905" w:rsidRDefault="00276672" w:rsidP="00544905">
      <w:r>
        <w:t xml:space="preserve">f) wyposażeniu lokali mieszkalnych w kuchnie gazowe i kotły dwufunkcyjne, </w:t>
      </w:r>
    </w:p>
    <w:p w:rsidR="00544905" w:rsidRDefault="00276672" w:rsidP="00544905">
      <w:r>
        <w:t>g) wymianie wewnętrznej linii zasilającej budynku,</w:t>
      </w:r>
    </w:p>
    <w:p w:rsidR="00544905" w:rsidRDefault="00276672" w:rsidP="00544905">
      <w:r>
        <w:t xml:space="preserve">h) usunięciu szkód powstałych w wyniku remontu, </w:t>
      </w:r>
    </w:p>
    <w:p w:rsidR="00544905" w:rsidRDefault="00276672" w:rsidP="00544905">
      <w:r>
        <w:t xml:space="preserve">i) remoncie klatki schodowej. </w:t>
      </w:r>
    </w:p>
    <w:p w:rsidR="00076E48" w:rsidRDefault="00276672" w:rsidP="005E3F2D">
      <w:r>
        <w:t>W efekcie projektu realizowany będzie cel operacyjny nr 5 GPRMM, a dodatkowo projekt będzie oddziaływał na realizację kierunku z celu operacyjnego nr 3 programu: „działania na rzecz poprawy jakości powietrza”.</w:t>
      </w:r>
    </w:p>
    <w:p w:rsidR="00076E48" w:rsidRPr="00076E48" w:rsidRDefault="00076E48" w:rsidP="005E3F2D">
      <w:pPr>
        <w:rPr>
          <w:b/>
        </w:rPr>
      </w:pPr>
      <w:r w:rsidRPr="00076E48">
        <w:rPr>
          <w:b/>
        </w:rPr>
        <w:t>Program Ochrony Środowiska dla Miasta Mława do roku 2022</w:t>
      </w:r>
    </w:p>
    <w:p w:rsidR="000331F3" w:rsidRDefault="000331F3" w:rsidP="000331F3">
      <w:r>
        <w:t>Nadrzędnym celem programu ochrony środowiska jest długotrwały, zrównoważony rozwój miasta,  w którym kwestie ochrony środowiska są rozważane na równi z kwestiami rozwoju społecznego  i gospodarczego. Dokument wyznacza cele strategiczne w zakresie następujących obszarów interwencji:</w:t>
      </w:r>
    </w:p>
    <w:p w:rsidR="000331F3" w:rsidRDefault="000331F3" w:rsidP="00AA7DC0">
      <w:pPr>
        <w:pStyle w:val="Akapitzlist"/>
        <w:numPr>
          <w:ilvl w:val="1"/>
          <w:numId w:val="12"/>
        </w:numPr>
      </w:pPr>
      <w:r>
        <w:t>ochrona klimatu i jakości powietrza;</w:t>
      </w:r>
    </w:p>
    <w:p w:rsidR="000331F3" w:rsidRDefault="000331F3" w:rsidP="00AA7DC0">
      <w:pPr>
        <w:pStyle w:val="Akapitzlist"/>
        <w:numPr>
          <w:ilvl w:val="1"/>
          <w:numId w:val="12"/>
        </w:numPr>
      </w:pPr>
      <w:r>
        <w:t>zagrożenie hałasem;</w:t>
      </w:r>
    </w:p>
    <w:p w:rsidR="000331F3" w:rsidRDefault="000331F3" w:rsidP="00AA7DC0">
      <w:pPr>
        <w:pStyle w:val="Akapitzlist"/>
        <w:numPr>
          <w:ilvl w:val="1"/>
          <w:numId w:val="12"/>
        </w:numPr>
      </w:pPr>
      <w:r>
        <w:t>pola elektromagnetyczne;</w:t>
      </w:r>
    </w:p>
    <w:p w:rsidR="000331F3" w:rsidRDefault="000331F3" w:rsidP="00AA7DC0">
      <w:pPr>
        <w:pStyle w:val="Akapitzlist"/>
        <w:numPr>
          <w:ilvl w:val="1"/>
          <w:numId w:val="12"/>
        </w:numPr>
      </w:pPr>
      <w:r>
        <w:t>gospodarowanie wodami;</w:t>
      </w:r>
    </w:p>
    <w:p w:rsidR="000331F3" w:rsidRDefault="000331F3" w:rsidP="00AA7DC0">
      <w:pPr>
        <w:pStyle w:val="Akapitzlist"/>
        <w:numPr>
          <w:ilvl w:val="1"/>
          <w:numId w:val="12"/>
        </w:numPr>
      </w:pPr>
      <w:r>
        <w:t>gospodarka wodno-ściekowa;</w:t>
      </w:r>
    </w:p>
    <w:p w:rsidR="000331F3" w:rsidRDefault="000331F3" w:rsidP="00AA7DC0">
      <w:pPr>
        <w:pStyle w:val="Akapitzlist"/>
        <w:numPr>
          <w:ilvl w:val="1"/>
          <w:numId w:val="12"/>
        </w:numPr>
      </w:pPr>
      <w:r>
        <w:lastRenderedPageBreak/>
        <w:t>zasoby geologiczne;</w:t>
      </w:r>
    </w:p>
    <w:p w:rsidR="000331F3" w:rsidRDefault="000331F3" w:rsidP="00AA7DC0">
      <w:pPr>
        <w:pStyle w:val="Akapitzlist"/>
        <w:numPr>
          <w:ilvl w:val="1"/>
          <w:numId w:val="12"/>
        </w:numPr>
      </w:pPr>
      <w:r>
        <w:t>gleby;</w:t>
      </w:r>
    </w:p>
    <w:p w:rsidR="000331F3" w:rsidRDefault="000331F3" w:rsidP="00AA7DC0">
      <w:pPr>
        <w:pStyle w:val="Akapitzlist"/>
        <w:numPr>
          <w:ilvl w:val="1"/>
          <w:numId w:val="12"/>
        </w:numPr>
      </w:pPr>
      <w:r>
        <w:t>gospodarka odpadami i zapobieganie powstawaniu odpadów;</w:t>
      </w:r>
    </w:p>
    <w:p w:rsidR="000331F3" w:rsidRDefault="000331F3" w:rsidP="00AA7DC0">
      <w:pPr>
        <w:pStyle w:val="Akapitzlist"/>
        <w:numPr>
          <w:ilvl w:val="1"/>
          <w:numId w:val="12"/>
        </w:numPr>
      </w:pPr>
      <w:r>
        <w:t>zasoby przyrodnicze;</w:t>
      </w:r>
    </w:p>
    <w:p w:rsidR="000331F3" w:rsidRDefault="000331F3" w:rsidP="00AA7DC0">
      <w:pPr>
        <w:pStyle w:val="Akapitzlist"/>
        <w:numPr>
          <w:ilvl w:val="1"/>
          <w:numId w:val="12"/>
        </w:numPr>
      </w:pPr>
      <w:r>
        <w:t>zagrożenie poważnymi awariami.</w:t>
      </w:r>
    </w:p>
    <w:p w:rsidR="000331F3" w:rsidRDefault="000331F3" w:rsidP="000331F3">
      <w:r w:rsidRPr="00076E48">
        <w:t>Największy udział środków finansowych przypada na obszar interwencji Ochrona klimatu i</w:t>
      </w:r>
      <w:r w:rsidR="00B70A8F">
        <w:t> </w:t>
      </w:r>
      <w:r w:rsidRPr="00076E48">
        <w:t>jakości powietrza.</w:t>
      </w:r>
    </w:p>
    <w:p w:rsidR="000331F3" w:rsidRDefault="000331F3" w:rsidP="000331F3">
      <w:r w:rsidRPr="000331F3">
        <w:t>W ramach obszaru interwencji jakim jest ochrona klimatu i jakości powietrza wyznaczono następujące cele:</w:t>
      </w:r>
    </w:p>
    <w:p w:rsidR="00D16773" w:rsidRDefault="000331F3" w:rsidP="00AA7DC0">
      <w:pPr>
        <w:pStyle w:val="Akapitzlist"/>
        <w:numPr>
          <w:ilvl w:val="0"/>
          <w:numId w:val="2"/>
        </w:numPr>
      </w:pPr>
      <w:r>
        <w:t>Poprawa jakości powietrza przy zapewnieniu bezpieczeństwa energetycznego w</w:t>
      </w:r>
      <w:r w:rsidR="00B70A8F">
        <w:t> </w:t>
      </w:r>
      <w:r>
        <w:t>kontekście zmian klimatu</w:t>
      </w:r>
      <w:r w:rsidR="00D16773">
        <w:t>;</w:t>
      </w:r>
    </w:p>
    <w:p w:rsidR="000331F3" w:rsidRDefault="00D16773" w:rsidP="00AA7DC0">
      <w:pPr>
        <w:pStyle w:val="Akapitzlist"/>
        <w:numPr>
          <w:ilvl w:val="0"/>
          <w:numId w:val="2"/>
        </w:numPr>
      </w:pPr>
      <w:r w:rsidRPr="00D16773">
        <w:t xml:space="preserve">Osiągniecie poziomu celu długoterminowego dla ozonu </w:t>
      </w:r>
      <w:r>
        <w:t>.</w:t>
      </w:r>
    </w:p>
    <w:p w:rsidR="000331F3" w:rsidRDefault="000331F3" w:rsidP="000331F3">
      <w:r>
        <w:t xml:space="preserve">Należy zaznaczyć, że obiecującym trendem obserwowanym w ostatnich latach jest rozwój pozyskiwania energii z OZE. </w:t>
      </w:r>
      <w:r w:rsidR="008A0DD6">
        <w:t xml:space="preserve">W miarę możliwości, także w Mieście Mława,planowany jest rozwój technologii pozyskiwania energii, przyjaznych dla środowiska. </w:t>
      </w:r>
    </w:p>
    <w:p w:rsidR="000331F3" w:rsidRDefault="000331F3" w:rsidP="000331F3">
      <w:r>
        <w:t>W latach obowiązywania Programu, mając na uwadze dotrzymanie właściwych standardów  w</w:t>
      </w:r>
      <w:r w:rsidR="00B70A8F">
        <w:t> </w:t>
      </w:r>
      <w:r>
        <w:t>zakresie jakości powietrza oraz ochronę zdrowia mieszkańców miasta, ważne jest ograniczenie emisji zanieczyszczeń u źródła, stosowanie technologii sprzyjających wykorzystaniu energii ze źródeł odnawialnych oraz poprawa efektywności energetycznej szczególnie w sektorze komunalnym.  Właściwym będzie też realizacja zaleceń ujętych w</w:t>
      </w:r>
      <w:r w:rsidR="00B70A8F">
        <w:t> </w:t>
      </w:r>
      <w:r>
        <w:t>planach ochrony powietrza sporządzonych dla strefy mazowieckiej, w której położone jest Miasto Mława. Uzupełnieniem działań inwestycyjnych jest prowadzenie równolegle z nimi edukacji ekologicznej.</w:t>
      </w:r>
    </w:p>
    <w:p w:rsidR="00BA09BE" w:rsidRPr="00BA09BE" w:rsidRDefault="00BA09BE" w:rsidP="005E3F2D">
      <w:pPr>
        <w:rPr>
          <w:b/>
        </w:rPr>
      </w:pPr>
      <w:r w:rsidRPr="00BA09BE">
        <w:rPr>
          <w:b/>
        </w:rPr>
        <w:t xml:space="preserve">Plan zrównoważonej mobilności miejskiej dla </w:t>
      </w:r>
      <w:r w:rsidR="00076E48">
        <w:rPr>
          <w:b/>
        </w:rPr>
        <w:t>M</w:t>
      </w:r>
      <w:r w:rsidRPr="00BA09BE">
        <w:rPr>
          <w:b/>
        </w:rPr>
        <w:t>iasta Mława</w:t>
      </w:r>
    </w:p>
    <w:p w:rsidR="00BA09BE" w:rsidRDefault="00BA09BE" w:rsidP="005E3F2D">
      <w:r>
        <w:t xml:space="preserve">Za główne cele planu mobilności należy uznać: </w:t>
      </w:r>
    </w:p>
    <w:p w:rsidR="00076E48" w:rsidRDefault="00BA09BE" w:rsidP="005E3F2D">
      <w:r>
        <w:sym w:font="Symbol" w:char="F0B7"/>
      </w:r>
      <w:r>
        <w:t xml:space="preserve"> zagwarantowanie mieszkańcom miasta zrównoważonego dostępu do każdego rodzaju środka transportu</w:t>
      </w:r>
      <w:r w:rsidR="00076E48">
        <w:t>,</w:t>
      </w:r>
    </w:p>
    <w:p w:rsidR="00076E48" w:rsidRDefault="00BA09BE" w:rsidP="005E3F2D">
      <w:r>
        <w:sym w:font="Symbol" w:char="F0B7"/>
      </w:r>
      <w:r>
        <w:t xml:space="preserve"> promowanie niskoemisyjnych środków transportu</w:t>
      </w:r>
      <w:r w:rsidR="00076E48">
        <w:t>,</w:t>
      </w:r>
    </w:p>
    <w:p w:rsidR="00076E48" w:rsidRDefault="00BA09BE" w:rsidP="005E3F2D">
      <w:r>
        <w:lastRenderedPageBreak/>
        <w:sym w:font="Symbol" w:char="F0B7"/>
      </w:r>
      <w:r>
        <w:t xml:space="preserve"> odpowiednie skomunikowanie różnych rodzajów środków transportu w ramach stworzonego multimodalnego węzła przesiadkowego</w:t>
      </w:r>
      <w:r w:rsidR="00076E48">
        <w:t>,</w:t>
      </w:r>
    </w:p>
    <w:p w:rsidR="00076E48" w:rsidRDefault="00BA09BE" w:rsidP="005E3F2D">
      <w:r>
        <w:sym w:font="Symbol" w:char="F0B7"/>
      </w:r>
      <w:r>
        <w:t xml:space="preserve"> redukcja hałasu i ograniczenie postępującego zanieczyszczenia powietrza</w:t>
      </w:r>
      <w:r w:rsidR="00076E48">
        <w:t>,</w:t>
      </w:r>
    </w:p>
    <w:p w:rsidR="00076E48" w:rsidRDefault="00BA09BE" w:rsidP="005E3F2D">
      <w:r>
        <w:sym w:font="Symbol" w:char="F0B7"/>
      </w:r>
      <w:r>
        <w:t xml:space="preserve"> poprawa bezpieczeństwa ruchu drogowego</w:t>
      </w:r>
      <w:r w:rsidR="00076E48">
        <w:t>,</w:t>
      </w:r>
    </w:p>
    <w:p w:rsidR="00076E48" w:rsidRDefault="00BA09BE" w:rsidP="005E3F2D">
      <w:r>
        <w:sym w:font="Symbol" w:char="F0B7"/>
      </w:r>
      <w:r>
        <w:t xml:space="preserve"> wzrost atrakcyjności miasta Mława</w:t>
      </w:r>
      <w:r w:rsidR="00076E48">
        <w:t>.</w:t>
      </w:r>
    </w:p>
    <w:p w:rsidR="00076E48" w:rsidRDefault="00BA09BE" w:rsidP="005E3F2D">
      <w:r>
        <w:t xml:space="preserve">Realizacja powyższych celów, przy jednoczesnym zapewnieniu odpowiedniej politykimobilności w mieście Mława powinna finalnie przynieść efekty w postaci: </w:t>
      </w:r>
    </w:p>
    <w:p w:rsidR="00076E48" w:rsidRDefault="00BA09BE" w:rsidP="005E3F2D">
      <w:r>
        <w:sym w:font="Symbol" w:char="F0B7"/>
      </w:r>
      <w:r>
        <w:t xml:space="preserve"> zmniejszenia natężenia ruchu samochodowego w centrum miasta</w:t>
      </w:r>
      <w:r w:rsidR="00076E48">
        <w:t>,</w:t>
      </w:r>
    </w:p>
    <w:p w:rsidR="00076E48" w:rsidRDefault="00BA09BE" w:rsidP="005E3F2D">
      <w:r>
        <w:sym w:font="Symbol" w:char="F0B7"/>
      </w:r>
      <w:r>
        <w:t xml:space="preserve"> dalszego wzrostu liczby podróżnych korzystających z komunikacji zbiorowej oraz z</w:t>
      </w:r>
      <w:r w:rsidR="00B70A8F">
        <w:t> </w:t>
      </w:r>
      <w:r>
        <w:t>alternatywnych środków transportu, jak np. rower</w:t>
      </w:r>
      <w:r w:rsidR="00076E48">
        <w:t>,</w:t>
      </w:r>
    </w:p>
    <w:p w:rsidR="00076E48" w:rsidRDefault="00BA09BE" w:rsidP="005E3F2D">
      <w:r>
        <w:sym w:font="Symbol" w:char="F0B7"/>
      </w:r>
      <w:r>
        <w:t xml:space="preserve"> poprawy bezpieczeństwa i jakości życia mieszkańców</w:t>
      </w:r>
      <w:r w:rsidR="00076E48">
        <w:t>,</w:t>
      </w:r>
    </w:p>
    <w:p w:rsidR="00076E48" w:rsidRDefault="00BA09BE" w:rsidP="005E3F2D">
      <w:r>
        <w:sym w:font="Symbol" w:char="F0B7"/>
      </w:r>
      <w:r>
        <w:t xml:space="preserve"> wyraźne zmniejszenie emisji CO2</w:t>
      </w:r>
      <w:r w:rsidR="00076E48">
        <w:t>,</w:t>
      </w:r>
    </w:p>
    <w:p w:rsidR="00BA09BE" w:rsidRDefault="00BA09BE" w:rsidP="005E3F2D">
      <w:r>
        <w:sym w:font="Symbol" w:char="F0B7"/>
      </w:r>
      <w:r>
        <w:t xml:space="preserve"> zminimalizowanie szans wystąpienia zjawiska kongestii na ulicach miasta</w:t>
      </w:r>
      <w:r w:rsidR="00076E48">
        <w:t>.</w:t>
      </w:r>
    </w:p>
    <w:p w:rsidR="00076E48" w:rsidRDefault="00076E48" w:rsidP="005E3F2D">
      <w:r>
        <w:t xml:space="preserve">Działania ujęte w palnie możliwościowym, przyczynią się do usprawnień komunikacji liniowej, będącej jednym z elementów niskiej emisji, która wpływa na zanieczyszczenie pyłowe powietrza. </w:t>
      </w:r>
    </w:p>
    <w:p w:rsidR="00BA09BE" w:rsidRPr="00BA09BE" w:rsidRDefault="00BA09BE" w:rsidP="00BA09BE">
      <w:pPr>
        <w:rPr>
          <w:b/>
        </w:rPr>
      </w:pPr>
      <w:r w:rsidRPr="00BA09BE">
        <w:rPr>
          <w:b/>
        </w:rPr>
        <w:t>Plan Gospodarki Niskoemisyjnej</w:t>
      </w:r>
      <w:r w:rsidR="008A0DD6">
        <w:rPr>
          <w:b/>
        </w:rPr>
        <w:t xml:space="preserve"> dla Miasta Mława</w:t>
      </w:r>
    </w:p>
    <w:p w:rsidR="006C0CBF" w:rsidRDefault="00D34898" w:rsidP="00D34898">
      <w:r>
        <w:t>Poniżej przedstawiono te kierunki działań oraz zadania, które są najistotniejszez punktu widzenia analiz stanowiących podstawę Planu Gospodarki Niskoemisyjnej:</w:t>
      </w:r>
    </w:p>
    <w:p w:rsidR="006C0CBF" w:rsidRPr="006C0CBF" w:rsidRDefault="00D34898" w:rsidP="00D34898">
      <w:pPr>
        <w:rPr>
          <w:u w:val="single"/>
        </w:rPr>
      </w:pPr>
      <w:r w:rsidRPr="006C0CBF">
        <w:rPr>
          <w:u w:val="single"/>
        </w:rPr>
        <w:t xml:space="preserve">W odniesieniu do sektora energetycznego: </w:t>
      </w:r>
    </w:p>
    <w:p w:rsidR="006C0CBF" w:rsidRDefault="00D34898" w:rsidP="00AA7DC0">
      <w:pPr>
        <w:pStyle w:val="Akapitzlist"/>
        <w:numPr>
          <w:ilvl w:val="0"/>
          <w:numId w:val="14"/>
        </w:numPr>
      </w:pPr>
      <w:r>
        <w:t xml:space="preserve">Zastępowanie węgla jako paliwa paliwami gazowymi i płynnymi, a także, w miarę lokalnych możliwości, nośnikami energii odnawialnej i z odpadów, </w:t>
      </w:r>
    </w:p>
    <w:p w:rsidR="006C0CBF" w:rsidRDefault="00D34898" w:rsidP="00AA7DC0">
      <w:pPr>
        <w:pStyle w:val="Akapitzlist"/>
        <w:numPr>
          <w:ilvl w:val="0"/>
          <w:numId w:val="14"/>
        </w:numPr>
      </w:pPr>
      <w:r>
        <w:t xml:space="preserve">Eliminowanie urządzeń o niskiej sprawności energetycznej, </w:t>
      </w:r>
    </w:p>
    <w:p w:rsidR="006C0CBF" w:rsidRDefault="00D34898" w:rsidP="00AA7DC0">
      <w:pPr>
        <w:pStyle w:val="Akapitzlist"/>
        <w:numPr>
          <w:ilvl w:val="0"/>
          <w:numId w:val="14"/>
        </w:numPr>
      </w:pPr>
      <w:r>
        <w:t xml:space="preserve">Wspieranie inwestycji termoizolacyjnych, </w:t>
      </w:r>
    </w:p>
    <w:p w:rsidR="006C0CBF" w:rsidRDefault="00D34898" w:rsidP="00AA7DC0">
      <w:pPr>
        <w:pStyle w:val="Akapitzlist"/>
        <w:numPr>
          <w:ilvl w:val="0"/>
          <w:numId w:val="14"/>
        </w:numPr>
      </w:pPr>
      <w:r>
        <w:t xml:space="preserve">Modernizacja urządzeń energetycznych i technik spalania zwiększająca sprawność przemian energii i zmniejszająca emisję zanieczyszczeń. </w:t>
      </w:r>
    </w:p>
    <w:p w:rsidR="006C0CBF" w:rsidRPr="006C0CBF" w:rsidRDefault="00D34898" w:rsidP="00D34898">
      <w:pPr>
        <w:rPr>
          <w:u w:val="single"/>
        </w:rPr>
      </w:pPr>
      <w:r w:rsidRPr="006C0CBF">
        <w:rPr>
          <w:u w:val="single"/>
        </w:rPr>
        <w:lastRenderedPageBreak/>
        <w:t xml:space="preserve">Sukcesywne ograniczanie i eliminacja oddziaływań niekorzystnych dla jakości powietrza atmosferycznego pochodzących z sektora komunalnego: </w:t>
      </w:r>
    </w:p>
    <w:p w:rsidR="00AA7FDE" w:rsidRDefault="00D34898" w:rsidP="00AA7DC0">
      <w:pPr>
        <w:pStyle w:val="Akapitzlist"/>
        <w:numPr>
          <w:ilvl w:val="0"/>
          <w:numId w:val="14"/>
        </w:numPr>
      </w:pPr>
      <w:r>
        <w:t xml:space="preserve">Modernizacja i bieżąca konserwacja urządzeń do produkcji i przesyłu energii cieplnej; </w:t>
      </w:r>
    </w:p>
    <w:p w:rsidR="00AA7FDE" w:rsidRDefault="00D34898" w:rsidP="00AA7DC0">
      <w:pPr>
        <w:pStyle w:val="Akapitzlist"/>
        <w:numPr>
          <w:ilvl w:val="0"/>
          <w:numId w:val="14"/>
        </w:numPr>
      </w:pPr>
      <w:r>
        <w:t xml:space="preserve">Przyłączenie kolejnych obiektów do miejskiej sieci cieplnej lub stosowania ekologicznych nośników energii; </w:t>
      </w:r>
    </w:p>
    <w:p w:rsidR="00AA7FDE" w:rsidRDefault="00D34898" w:rsidP="00AA7DC0">
      <w:pPr>
        <w:pStyle w:val="Akapitzlist"/>
        <w:numPr>
          <w:ilvl w:val="0"/>
          <w:numId w:val="14"/>
        </w:numPr>
      </w:pPr>
      <w:r>
        <w:t xml:space="preserve">Ograniczenie strat ciepła w budynkach mieszkalnych i obiektach użyteczności publicznej, m.in. poprzez termomodernizację; </w:t>
      </w:r>
    </w:p>
    <w:p w:rsidR="00AA7FDE" w:rsidRDefault="00D34898" w:rsidP="00AA7DC0">
      <w:pPr>
        <w:pStyle w:val="Akapitzlist"/>
        <w:numPr>
          <w:ilvl w:val="0"/>
          <w:numId w:val="14"/>
        </w:numPr>
      </w:pPr>
      <w:r>
        <w:t xml:space="preserve">Edukacja mieszkańców Mławy w zakresie kształtowania właściwych postaw i zachowań sprzyjających oszczędzaniu energii cieplnej i elektrycznej oraz w zakresie uświadamiania o szkodliwości spalania paliw niskiej jakości; </w:t>
      </w:r>
    </w:p>
    <w:p w:rsidR="00AA7FDE" w:rsidRDefault="00D34898" w:rsidP="00AA7DC0">
      <w:pPr>
        <w:pStyle w:val="Akapitzlist"/>
        <w:numPr>
          <w:ilvl w:val="0"/>
          <w:numId w:val="14"/>
        </w:numPr>
      </w:pPr>
      <w:r>
        <w:t xml:space="preserve">Promocja alternatywnych źródeł energii, propagowanie działań zmierzających do wykorzystywania odnawialnych źródeł energii (m.in. słonecznej i geotermalnej); </w:t>
      </w:r>
    </w:p>
    <w:p w:rsidR="00AA7FDE" w:rsidRDefault="00D34898" w:rsidP="00AA7DC0">
      <w:pPr>
        <w:pStyle w:val="Akapitzlist"/>
        <w:numPr>
          <w:ilvl w:val="0"/>
          <w:numId w:val="14"/>
        </w:numPr>
      </w:pPr>
      <w:r>
        <w:t>Wprowadzanie energooszczędnego oświetlania ulic i budynków użyteczności publicznej.</w:t>
      </w:r>
    </w:p>
    <w:p w:rsidR="00AA7FDE" w:rsidRPr="00AA7FDE" w:rsidRDefault="00D34898" w:rsidP="00D34898">
      <w:pPr>
        <w:rPr>
          <w:u w:val="single"/>
        </w:rPr>
      </w:pPr>
      <w:r w:rsidRPr="00AA7FDE">
        <w:rPr>
          <w:u w:val="single"/>
        </w:rPr>
        <w:t xml:space="preserve">Dążenie do ograniczenia wielkości emisji zanieczyszczeń ze źródeł komunikacyjnych: </w:t>
      </w:r>
    </w:p>
    <w:p w:rsidR="00AA7FDE" w:rsidRDefault="00D34898" w:rsidP="00AA7DC0">
      <w:pPr>
        <w:pStyle w:val="Akapitzlist"/>
        <w:numPr>
          <w:ilvl w:val="0"/>
          <w:numId w:val="14"/>
        </w:numPr>
      </w:pPr>
      <w:r>
        <w:t xml:space="preserve">Rozwój i promocja komunikacji zbiorowej w celu zwiększenia jej udziału w całkowitych przewozach pasażerskich; </w:t>
      </w:r>
    </w:p>
    <w:p w:rsidR="00AA7FDE" w:rsidRDefault="00D34898" w:rsidP="00AA7DC0">
      <w:pPr>
        <w:pStyle w:val="Akapitzlist"/>
        <w:numPr>
          <w:ilvl w:val="0"/>
          <w:numId w:val="14"/>
        </w:numPr>
      </w:pPr>
      <w:r>
        <w:t xml:space="preserve">Budowa ciągów pieszo-rowerowych wraz z infrastrukturą towarzyszącą; </w:t>
      </w:r>
    </w:p>
    <w:p w:rsidR="00AA7FDE" w:rsidRDefault="00D34898" w:rsidP="00AA7DC0">
      <w:pPr>
        <w:pStyle w:val="Akapitzlist"/>
        <w:numPr>
          <w:ilvl w:val="0"/>
          <w:numId w:val="14"/>
        </w:numPr>
      </w:pPr>
      <w:r>
        <w:t xml:space="preserve">Zachęcanie i promowanie do proekologicznych zachowań właścicieli pojazdów (wysoka jakość paliwa, promocja środków transportu zbiorowego, organizacja płynnego ruchu komunikacyjnego, popularyzacja ruchu rowerowego itp.). </w:t>
      </w:r>
    </w:p>
    <w:p w:rsidR="00AA7FDE" w:rsidRPr="00AA7FDE" w:rsidRDefault="00D34898" w:rsidP="00D34898">
      <w:pPr>
        <w:rPr>
          <w:u w:val="single"/>
        </w:rPr>
      </w:pPr>
      <w:r w:rsidRPr="00AA7FDE">
        <w:rPr>
          <w:u w:val="single"/>
        </w:rPr>
        <w:t xml:space="preserve">Ograniczanie wpływu i wielkości emisji zanieczyszczeń ze źródeł przemysłowych: </w:t>
      </w:r>
    </w:p>
    <w:p w:rsidR="00AA7FDE" w:rsidRDefault="00D34898" w:rsidP="00AA7DC0">
      <w:pPr>
        <w:pStyle w:val="Akapitzlist"/>
        <w:numPr>
          <w:ilvl w:val="0"/>
          <w:numId w:val="14"/>
        </w:numPr>
      </w:pPr>
      <w:r>
        <w:t xml:space="preserve">Kontrola zakładów emitujących zanieczyszczenia do atmosfery pod kątem spełniania przez nie wymogów prawnych, wydawanie pozwoleń na emisję substancji, </w:t>
      </w:r>
    </w:p>
    <w:p w:rsidR="00AA7FDE" w:rsidRDefault="00D34898" w:rsidP="00AA7DC0">
      <w:pPr>
        <w:pStyle w:val="Akapitzlist"/>
        <w:numPr>
          <w:ilvl w:val="0"/>
          <w:numId w:val="14"/>
        </w:numPr>
      </w:pPr>
      <w:r>
        <w:t xml:space="preserve">Stosowanie przez przedsiębiorców nowoczesnych i energooszczędnych technologii oraz inwestowanie w rozwiązania sprzyjające ochronie środowiska. </w:t>
      </w:r>
    </w:p>
    <w:p w:rsidR="00AA7FDE" w:rsidRDefault="00D34898" w:rsidP="00D34898">
      <w:r w:rsidRPr="00AA7FDE">
        <w:rPr>
          <w:u w:val="single"/>
        </w:rPr>
        <w:t>W celu zmniejszenia poboru energii:</w:t>
      </w:r>
    </w:p>
    <w:p w:rsidR="00AA7FDE" w:rsidRDefault="00D34898" w:rsidP="00D34898">
      <w:r>
        <w:lastRenderedPageBreak/>
        <w:sym w:font="Symbol" w:char="F0B7"/>
      </w:r>
      <w:r>
        <w:t xml:space="preserve"> Propagowanie wśród mieszkańców Miasta zachowań, które zmniejszą pobór energii elektrycznej lub zapotrzebowanie na energię cieplną;</w:t>
      </w:r>
    </w:p>
    <w:p w:rsidR="00AA7FDE" w:rsidRDefault="00D34898" w:rsidP="00D34898">
      <w:r>
        <w:sym w:font="Symbol" w:char="F0B7"/>
      </w:r>
      <w:r>
        <w:t xml:space="preserve"> Kontrola stanu technicznego urządzeń grzewczych; </w:t>
      </w:r>
    </w:p>
    <w:p w:rsidR="00AA7FDE" w:rsidRDefault="00D34898" w:rsidP="00D34898">
      <w:r>
        <w:sym w:font="Symbol" w:char="F0B7"/>
      </w:r>
      <w:r>
        <w:t xml:space="preserve"> Propagowanie prac termomodernizacyjnych; </w:t>
      </w:r>
    </w:p>
    <w:p w:rsidR="00AA7FDE" w:rsidRDefault="00D34898" w:rsidP="00D34898">
      <w:r>
        <w:sym w:font="Symbol" w:char="F0B7"/>
      </w:r>
      <w:r>
        <w:t xml:space="preserve"> Stosowanie energooszczędnych źródeł światła; </w:t>
      </w:r>
    </w:p>
    <w:p w:rsidR="00AA7FDE" w:rsidRDefault="00D34898" w:rsidP="00D34898">
      <w:r>
        <w:sym w:font="Symbol" w:char="F0B7"/>
      </w:r>
      <w:r>
        <w:t xml:space="preserve"> Dążenie do zmniejszenia energii zużywanej na podgrzanie ciepłej wody.</w:t>
      </w:r>
    </w:p>
    <w:p w:rsidR="00AA7FDE" w:rsidRPr="00AA7FDE" w:rsidRDefault="00D34898" w:rsidP="00D34898">
      <w:pPr>
        <w:rPr>
          <w:u w:val="single"/>
        </w:rPr>
      </w:pPr>
      <w:r w:rsidRPr="00AA7FDE">
        <w:rPr>
          <w:u w:val="single"/>
        </w:rPr>
        <w:t xml:space="preserve">Promowanie budownictwa energooszczędnego. </w:t>
      </w:r>
    </w:p>
    <w:p w:rsidR="00D34898" w:rsidRDefault="00D34898" w:rsidP="00AA7DC0">
      <w:pPr>
        <w:pStyle w:val="Akapitzlist"/>
        <w:numPr>
          <w:ilvl w:val="0"/>
          <w:numId w:val="52"/>
        </w:numPr>
      </w:pPr>
      <w:r>
        <w:t>Uwzględnianie w przetargach organizowanych przez administrację samorządową wymogów ekologicznych, o ile jest to ekonomicznie uzasadnione</w:t>
      </w:r>
      <w:r w:rsidR="00AA7FDE">
        <w:t>.</w:t>
      </w:r>
    </w:p>
    <w:p w:rsidR="00BA09BE" w:rsidRDefault="00BA09BE" w:rsidP="00BA09BE">
      <w:r>
        <w:t xml:space="preserve">Plan Gospodarki Niskoemisyjnej zakłada transformację </w:t>
      </w:r>
      <w:r w:rsidR="008A0DD6">
        <w:t>Miasta</w:t>
      </w:r>
      <w:r>
        <w:t xml:space="preserve"> Mława w kierunku gospodarki niskoemisyjnej, poprzez:</w:t>
      </w:r>
    </w:p>
    <w:p w:rsidR="00BA09BE" w:rsidRDefault="00BA09BE" w:rsidP="00AA7DC0">
      <w:pPr>
        <w:pStyle w:val="Akapitzlist"/>
        <w:numPr>
          <w:ilvl w:val="0"/>
          <w:numId w:val="14"/>
        </w:numPr>
      </w:pPr>
      <w:r>
        <w:t>ograniczenie emisji gazów cieplarnianych,</w:t>
      </w:r>
    </w:p>
    <w:p w:rsidR="00BA09BE" w:rsidRDefault="00BA09BE" w:rsidP="00AA7DC0">
      <w:pPr>
        <w:pStyle w:val="Akapitzlist"/>
        <w:numPr>
          <w:ilvl w:val="0"/>
          <w:numId w:val="14"/>
        </w:numPr>
      </w:pPr>
      <w:r>
        <w:t>poprawę efektywności energetycznej,</w:t>
      </w:r>
    </w:p>
    <w:p w:rsidR="00BA09BE" w:rsidRDefault="00BA09BE" w:rsidP="00AA7DC0">
      <w:pPr>
        <w:pStyle w:val="Akapitzlist"/>
        <w:numPr>
          <w:ilvl w:val="0"/>
          <w:numId w:val="14"/>
        </w:numPr>
      </w:pPr>
      <w:r>
        <w:t>wzrost wykorzystania energii ze źródeł odnawialnych i</w:t>
      </w:r>
    </w:p>
    <w:p w:rsidR="00BA09BE" w:rsidRDefault="00BA09BE" w:rsidP="00AA7DC0">
      <w:pPr>
        <w:pStyle w:val="Akapitzlist"/>
        <w:numPr>
          <w:ilvl w:val="0"/>
          <w:numId w:val="14"/>
        </w:numPr>
      </w:pPr>
      <w:r>
        <w:t>poprawę jakości powietrza.</w:t>
      </w:r>
    </w:p>
    <w:p w:rsidR="000331F3" w:rsidRDefault="000331F3" w:rsidP="000331F3">
      <w:r>
        <w:t xml:space="preserve">Działaniami, które mają służyć ochronie środowiska w zakresie poprawy jakości powietrza  są: </w:t>
      </w:r>
    </w:p>
    <w:p w:rsidR="000331F3" w:rsidRDefault="000331F3" w:rsidP="00AA7DC0">
      <w:pPr>
        <w:pStyle w:val="Akapitzlist"/>
        <w:numPr>
          <w:ilvl w:val="0"/>
          <w:numId w:val="2"/>
        </w:numPr>
      </w:pPr>
      <w:r>
        <w:t>rozbudowa ścieżek rowerowych;</w:t>
      </w:r>
    </w:p>
    <w:p w:rsidR="000331F3" w:rsidRDefault="000331F3" w:rsidP="00AA7DC0">
      <w:pPr>
        <w:pStyle w:val="Akapitzlist"/>
        <w:numPr>
          <w:ilvl w:val="0"/>
          <w:numId w:val="2"/>
        </w:numPr>
      </w:pPr>
      <w:r>
        <w:t xml:space="preserve">modernizacja środków transportu miejskiego. </w:t>
      </w:r>
    </w:p>
    <w:p w:rsidR="006C0CBF" w:rsidRDefault="006C0CBF" w:rsidP="006C0CBF">
      <w:r>
        <w:t>W analizie SWOT, znajdują</w:t>
      </w:r>
      <w:r w:rsidR="00AA7FDE">
        <w:t>cej</w:t>
      </w:r>
      <w:r>
        <w:t xml:space="preserve"> się w PGN</w:t>
      </w:r>
      <w:r w:rsidR="00AA7FDE">
        <w:t>,</w:t>
      </w:r>
      <w:r>
        <w:t xml:space="preserve"> uwzględniono najistotniejsze czynniki mające decydujący wpływ na kierunki polityki niskoemisyjnej oraz ochrony powietrza w Mieście. Analiza ta oraz wnioski z inwentaryzacji emisji umożliwiły identyfikację obszarów problemowych, co z kolei stanowi fundament do formułowania konkretnych działań.</w:t>
      </w:r>
    </w:p>
    <w:p w:rsidR="006C0CBF" w:rsidRDefault="006C0CBF" w:rsidP="00AA7DC0">
      <w:pPr>
        <w:pStyle w:val="Akapitzlist"/>
        <w:numPr>
          <w:ilvl w:val="0"/>
          <w:numId w:val="51"/>
        </w:numPr>
      </w:pPr>
      <w:r>
        <w:t>zmniejszenie energochłonności w mieszkalnictwie i budynkach użyteczności publicznej,</w:t>
      </w:r>
    </w:p>
    <w:p w:rsidR="006C0CBF" w:rsidRDefault="006C0CBF" w:rsidP="00AA7DC0">
      <w:pPr>
        <w:pStyle w:val="Akapitzlist"/>
        <w:numPr>
          <w:ilvl w:val="0"/>
          <w:numId w:val="51"/>
        </w:numPr>
      </w:pPr>
      <w:r>
        <w:t>zmniejszenie wydatków na energię w budżecie Miasta,</w:t>
      </w:r>
    </w:p>
    <w:p w:rsidR="006C0CBF" w:rsidRDefault="006C0CBF" w:rsidP="00AA7DC0">
      <w:pPr>
        <w:pStyle w:val="Akapitzlist"/>
        <w:numPr>
          <w:ilvl w:val="0"/>
          <w:numId w:val="51"/>
        </w:numPr>
      </w:pPr>
      <w:r>
        <w:t>zwiększenie własnych zasobów wytwarzania energii poprzez rozwój OZE,</w:t>
      </w:r>
    </w:p>
    <w:p w:rsidR="006C0CBF" w:rsidRDefault="006C0CBF" w:rsidP="00AA7DC0">
      <w:pPr>
        <w:pStyle w:val="Akapitzlist"/>
        <w:numPr>
          <w:ilvl w:val="0"/>
          <w:numId w:val="51"/>
        </w:numPr>
      </w:pPr>
      <w:r>
        <w:t>zmniejszenie emisji zanieczyszczeń do powietrza,</w:t>
      </w:r>
    </w:p>
    <w:p w:rsidR="006C0CBF" w:rsidRDefault="006C0CBF" w:rsidP="00AA7DC0">
      <w:pPr>
        <w:pStyle w:val="Akapitzlist"/>
        <w:numPr>
          <w:ilvl w:val="0"/>
          <w:numId w:val="51"/>
        </w:numPr>
      </w:pPr>
      <w:r>
        <w:lastRenderedPageBreak/>
        <w:t>zwiększenie świadomości ekologicznej mieszkańców,</w:t>
      </w:r>
    </w:p>
    <w:p w:rsidR="006C0CBF" w:rsidRDefault="006C0CBF" w:rsidP="00AA7DC0">
      <w:pPr>
        <w:pStyle w:val="Akapitzlist"/>
        <w:numPr>
          <w:ilvl w:val="0"/>
          <w:numId w:val="51"/>
        </w:numPr>
      </w:pPr>
      <w:r>
        <w:t>zwiększenie udziału niskoemisyjnych (sieć cieplna, gaz) sposobów ogrzewania w</w:t>
      </w:r>
      <w:r w:rsidR="00B70A8F">
        <w:t> </w:t>
      </w:r>
      <w:r>
        <w:t>mieszkalnictwie.</w:t>
      </w:r>
    </w:p>
    <w:p w:rsidR="00C00681" w:rsidRPr="005C1692" w:rsidRDefault="00C00681" w:rsidP="00C00681">
      <w:pPr>
        <w:rPr>
          <w:b/>
        </w:rPr>
      </w:pPr>
      <w:r w:rsidRPr="005C1692">
        <w:rPr>
          <w:b/>
        </w:rPr>
        <w:t xml:space="preserve">Miejscowe Plany Zagospodarowania Przestrzennego Miasta </w:t>
      </w:r>
      <w:r>
        <w:rPr>
          <w:b/>
        </w:rPr>
        <w:t>Mława</w:t>
      </w:r>
    </w:p>
    <w:p w:rsidR="00C00681" w:rsidRDefault="00C00681" w:rsidP="00C00681">
      <w:r>
        <w:t>Istniejące Plany Zagospodarowania Przestrzennego wskazują podstawowe kierunki rozwoju m.in. w zakresie zaopatrzenia w energię cieplną, elektryczną  i paliwa gazowe. W ramach zaopatrzenia w ciepło należy dążyć do ograniczania ilości zużywanego ciepła, poprzez przeprowadzenie termomodernizacji budynków, zarówno użyteczności publicznej jak  i</w:t>
      </w:r>
      <w:r w:rsidR="00B70A8F">
        <w:t> </w:t>
      </w:r>
      <w:r>
        <w:t>mieszkaniowych. Indywidualne źródła ciepła należy modernizować i dbać o ich wysoką sprawność grzewczą. Ze względu na ochronę środowiska i zmniejszenie emisji zanieczyszczeń należy systematycznie rezygnować z węgla jako źródła energii, na rzecz rozwiązań ekologicznych. W Planach dąży się do ograniczenia emisji komunalno-bytowej poprzez zapisy w</w:t>
      </w:r>
      <w:r w:rsidR="00B70A8F">
        <w:t> </w:t>
      </w:r>
      <w:r>
        <w:t>planach zagospodarowania – zaopatrzenie w gaz z sieci gazowej niskiego i średniego ciśnienia, dopuszcza się zaopatrzenie w ciepło z urządzeń kogeneracji i ustala się wskaźnik powierzchni biologicznej nie mniejszej niż 40%.</w:t>
      </w:r>
    </w:p>
    <w:p w:rsidR="00BA09BE" w:rsidRPr="00BA09BE" w:rsidRDefault="00BA09BE" w:rsidP="00BA09BE">
      <w:pPr>
        <w:rPr>
          <w:b/>
        </w:rPr>
      </w:pPr>
      <w:r w:rsidRPr="00BA09BE">
        <w:rPr>
          <w:b/>
        </w:rPr>
        <w:t>Studium uwarunkowań i kierunków zagospodarowania przestrzennego Miasta Mława</w:t>
      </w:r>
    </w:p>
    <w:p w:rsidR="00C13FF9" w:rsidRDefault="00BA09BE" w:rsidP="00BA09BE">
      <w:r>
        <w:t>Studium wskazuje podstawowe kierunki rozwoju m.in. w zakresie zaopatrzenia w energię cieplną, elektryczna i paliwa gazowe. W ramach zaopatrzenia w ciepło należy dążyć do ograniczania ilości zużywanego ciepła, poprzez przeprowadzenie termomodernizacji budynków, zarówno użyteczności publicznej jak i mieszkaniowych. Indywidualne źródła ciepła należy modernizować i dbać o ich wysoką sprawność grzewczą. Ze względu na ochronę środowiska i</w:t>
      </w:r>
      <w:r w:rsidR="00B70A8F">
        <w:t> </w:t>
      </w:r>
      <w:r>
        <w:t>zmniejszenie emisji zanieczyszczeń należy systematycznie rezygnować z węgla jako źródła energii, na rzecz rozwiązań ekologicznych.</w:t>
      </w:r>
    </w:p>
    <w:p w:rsidR="00C13FF9" w:rsidRDefault="00C13FF9" w:rsidP="00BA09BE"/>
    <w:p w:rsidR="009B1A27" w:rsidRPr="0062779A" w:rsidRDefault="009B1A27" w:rsidP="009B1A27">
      <w:pPr>
        <w:pStyle w:val="Styl1"/>
        <w:spacing w:line="360" w:lineRule="auto"/>
        <w:jc w:val="both"/>
      </w:pPr>
      <w:bookmarkStart w:id="64" w:name="_Toc535233330"/>
      <w:r>
        <w:lastRenderedPageBreak/>
        <w:t>4. CHARAKTERYSTYKA OBSZARU ODDZIAŁYWANIA PONE</w:t>
      </w:r>
      <w:bookmarkEnd w:id="63"/>
      <w:bookmarkEnd w:id="64"/>
    </w:p>
    <w:p w:rsidR="009B1A27" w:rsidRPr="00084487" w:rsidRDefault="009B1A27" w:rsidP="009B1A27">
      <w:pPr>
        <w:pStyle w:val="Styl2"/>
        <w:spacing w:line="360" w:lineRule="auto"/>
      </w:pPr>
      <w:bookmarkStart w:id="65" w:name="_Toc506286929"/>
      <w:bookmarkStart w:id="66" w:name="_Toc523732376"/>
      <w:bookmarkStart w:id="67" w:name="_Toc523995604"/>
      <w:bookmarkStart w:id="68" w:name="_Toc524936068"/>
      <w:bookmarkStart w:id="69" w:name="_Toc525631663"/>
      <w:bookmarkStart w:id="70" w:name="_Toc526758913"/>
      <w:bookmarkStart w:id="71" w:name="_Toc528057765"/>
      <w:bookmarkStart w:id="72" w:name="_Toc528747996"/>
      <w:bookmarkStart w:id="73" w:name="_Toc535233331"/>
      <w:r>
        <w:t xml:space="preserve">4.1 </w:t>
      </w:r>
      <w:r w:rsidRPr="00084487">
        <w:t>Identyfikacja obszaru</w:t>
      </w:r>
      <w:bookmarkEnd w:id="65"/>
      <w:bookmarkEnd w:id="66"/>
      <w:bookmarkEnd w:id="67"/>
      <w:bookmarkEnd w:id="68"/>
      <w:bookmarkEnd w:id="69"/>
      <w:bookmarkEnd w:id="70"/>
      <w:bookmarkEnd w:id="71"/>
      <w:bookmarkEnd w:id="72"/>
      <w:bookmarkEnd w:id="73"/>
    </w:p>
    <w:p w:rsidR="009B1A27" w:rsidRDefault="009B1A27" w:rsidP="009B1A27">
      <w:r>
        <w:t>Obszar oddziaływania PONE to teren, dla którego wdrożenie konkretnych rozwiązań techniczno-ekonomicznych w budynkach mieszkalnych przyczyni się do osiągnięcia bezpośrednich, wymiernych rezultatów w aspekcie:</w:t>
      </w:r>
    </w:p>
    <w:p w:rsidR="009B1A27" w:rsidRPr="0062779A" w:rsidRDefault="009B1A27" w:rsidP="00AA7DC0">
      <w:pPr>
        <w:pStyle w:val="Akapitzlist"/>
        <w:numPr>
          <w:ilvl w:val="0"/>
          <w:numId w:val="15"/>
        </w:numPr>
      </w:pPr>
      <w:r w:rsidRPr="0062779A">
        <w:t>ekologicznym – zmniejszenie emisji zanieczyszczeń do powietrza, które powstają w</w:t>
      </w:r>
      <w:r w:rsidR="00B70A8F">
        <w:t> </w:t>
      </w:r>
      <w:r w:rsidRPr="0062779A">
        <w:t>procesie spalania paliw na cele grzewcze,</w:t>
      </w:r>
    </w:p>
    <w:p w:rsidR="009B1A27" w:rsidRPr="003204B9" w:rsidRDefault="009B1A27" w:rsidP="00AA7DC0">
      <w:pPr>
        <w:pStyle w:val="Akapitzlist"/>
        <w:numPr>
          <w:ilvl w:val="0"/>
          <w:numId w:val="15"/>
        </w:numPr>
      </w:pPr>
      <w:r w:rsidRPr="0062779A">
        <w:t xml:space="preserve">ekonomicznym – ograniczenie kosztów ogrzewania indywidualnych budynków </w:t>
      </w:r>
      <w:r w:rsidRPr="003204B9">
        <w:t>mieszkalnych.</w:t>
      </w:r>
    </w:p>
    <w:p w:rsidR="009B1A27" w:rsidRPr="003204B9" w:rsidRDefault="009B1A27" w:rsidP="009B1A27">
      <w:r w:rsidRPr="003204B9">
        <w:t xml:space="preserve">Obszarem oddziaływania niniejszego PONE jest </w:t>
      </w:r>
      <w:r w:rsidR="008329EC">
        <w:t>Miasto Mława</w:t>
      </w:r>
      <w:r>
        <w:t xml:space="preserve">. Należy do województwa mazowieckiego, </w:t>
      </w:r>
      <w:r w:rsidRPr="003204B9">
        <w:t xml:space="preserve">powiatu </w:t>
      </w:r>
      <w:r w:rsidR="008329EC">
        <w:t>mławskiego</w:t>
      </w:r>
      <w:r w:rsidRPr="003204B9">
        <w:t xml:space="preserve">. Powierzchnia </w:t>
      </w:r>
      <w:r w:rsidRPr="007B4D71">
        <w:t>wynosi 35,45 km</w:t>
      </w:r>
      <w:r w:rsidRPr="007B4D71">
        <w:rPr>
          <w:vertAlign w:val="superscript"/>
        </w:rPr>
        <w:t>2</w:t>
      </w:r>
      <w:r w:rsidRPr="007B4D71">
        <w:t>.</w:t>
      </w:r>
    </w:p>
    <w:p w:rsidR="009B1A27" w:rsidRPr="004B648C" w:rsidRDefault="009B1A27" w:rsidP="009B1A27">
      <w:pPr>
        <w:pStyle w:val="Styl2"/>
        <w:spacing w:line="360" w:lineRule="auto"/>
      </w:pPr>
      <w:bookmarkStart w:id="74" w:name="_Toc506286930"/>
      <w:bookmarkStart w:id="75" w:name="_Toc523732377"/>
      <w:bookmarkStart w:id="76" w:name="_Toc523995605"/>
      <w:bookmarkStart w:id="77" w:name="_Toc524936069"/>
      <w:bookmarkStart w:id="78" w:name="_Toc525631664"/>
      <w:bookmarkStart w:id="79" w:name="_Toc526758914"/>
      <w:bookmarkStart w:id="80" w:name="_Toc528057766"/>
      <w:bookmarkStart w:id="81" w:name="_Toc528747997"/>
      <w:bookmarkStart w:id="82" w:name="_Toc535233332"/>
      <w:r>
        <w:t>4.2 Lokalizacja</w:t>
      </w:r>
      <w:bookmarkEnd w:id="74"/>
      <w:bookmarkEnd w:id="75"/>
      <w:bookmarkEnd w:id="76"/>
      <w:bookmarkEnd w:id="77"/>
      <w:bookmarkEnd w:id="78"/>
      <w:bookmarkEnd w:id="79"/>
      <w:bookmarkEnd w:id="80"/>
      <w:bookmarkEnd w:id="81"/>
      <w:bookmarkEnd w:id="82"/>
    </w:p>
    <w:p w:rsidR="00AD0E45" w:rsidRDefault="00C13FF9" w:rsidP="00AD0E45">
      <w:pPr>
        <w:keepNext/>
      </w:pPr>
      <w:r w:rsidRPr="00AD0E45">
        <w:rPr>
          <w:noProof/>
          <w:lang w:eastAsia="pl-PL"/>
        </w:rPr>
        <w:drawing>
          <wp:anchor distT="0" distB="0" distL="114300" distR="114300" simplePos="0" relativeHeight="251671552" behindDoc="0" locked="0" layoutInCell="1" allowOverlap="1">
            <wp:simplePos x="0" y="0"/>
            <wp:positionH relativeFrom="column">
              <wp:posOffset>225425</wp:posOffset>
            </wp:positionH>
            <wp:positionV relativeFrom="paragraph">
              <wp:posOffset>861060</wp:posOffset>
            </wp:positionV>
            <wp:extent cx="4659630" cy="2418080"/>
            <wp:effectExtent l="0" t="0" r="7620" b="127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9630" cy="2418080"/>
                    </a:xfrm>
                    <a:prstGeom prst="rect">
                      <a:avLst/>
                    </a:prstGeom>
                  </pic:spPr>
                </pic:pic>
              </a:graphicData>
            </a:graphic>
          </wp:anchor>
        </w:drawing>
      </w:r>
      <w:r w:rsidR="00ED6D37" w:rsidRPr="00ED6D37">
        <w:t>Mława jest gminą miejską, położoną w powiecie mławskim (pełni funkcje jego stolicy), w</w:t>
      </w:r>
      <w:r w:rsidR="00B70A8F">
        <w:t> </w:t>
      </w:r>
      <w:r w:rsidR="00ED6D37" w:rsidRPr="00ED6D37">
        <w:t>północnej części województwa mazowieckiego, przy granicy z województwem warmińskomazurskim.</w:t>
      </w:r>
    </w:p>
    <w:p w:rsidR="009B1A27" w:rsidRDefault="00AD0E45" w:rsidP="00AD0E45">
      <w:pPr>
        <w:pStyle w:val="Legenda"/>
      </w:pPr>
      <w:bookmarkStart w:id="83" w:name="_Toc532369574"/>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1</w:t>
      </w:r>
      <w:r w:rsidR="00135E52">
        <w:rPr>
          <w:noProof/>
        </w:rPr>
        <w:fldChar w:fldCharType="end"/>
      </w:r>
      <w:r>
        <w:t xml:space="preserve"> Położenie Miasta Mława.</w:t>
      </w:r>
      <w:r w:rsidRPr="00AD0E45">
        <w:t xml:space="preserve"> Źródło Google Maps.</w:t>
      </w:r>
      <w:bookmarkEnd w:id="83"/>
    </w:p>
    <w:p w:rsidR="00AD0E45" w:rsidRDefault="00AD0E45" w:rsidP="00D65E9A">
      <w:r w:rsidRPr="00AD0E45">
        <w:t>Miasto Mława, w obrębie powiatu mławskiego, graniczy z następującymi gminami</w:t>
      </w:r>
      <w:r>
        <w:t>:</w:t>
      </w:r>
    </w:p>
    <w:p w:rsidR="00AD0E45" w:rsidRDefault="00AD0E45" w:rsidP="00AA7DC0">
      <w:pPr>
        <w:pStyle w:val="Akapitzlist"/>
        <w:numPr>
          <w:ilvl w:val="0"/>
          <w:numId w:val="18"/>
        </w:numPr>
      </w:pPr>
      <w:r w:rsidRPr="00AD0E45">
        <w:lastRenderedPageBreak/>
        <w:t xml:space="preserve">Lipowiec Kościelny, </w:t>
      </w:r>
    </w:p>
    <w:p w:rsidR="00AD0E45" w:rsidRDefault="00AD0E45" w:rsidP="00AA7DC0">
      <w:pPr>
        <w:pStyle w:val="Akapitzlist"/>
        <w:numPr>
          <w:ilvl w:val="0"/>
          <w:numId w:val="18"/>
        </w:numPr>
      </w:pPr>
      <w:r w:rsidRPr="00AD0E45">
        <w:t xml:space="preserve">Szydłowo, </w:t>
      </w:r>
    </w:p>
    <w:p w:rsidR="00AD0E45" w:rsidRDefault="00AD0E45" w:rsidP="00AA7DC0">
      <w:pPr>
        <w:pStyle w:val="Akapitzlist"/>
        <w:numPr>
          <w:ilvl w:val="0"/>
          <w:numId w:val="18"/>
        </w:numPr>
      </w:pPr>
      <w:r w:rsidRPr="00AD0E45">
        <w:t xml:space="preserve">Wieczfnia Kościelna, </w:t>
      </w:r>
    </w:p>
    <w:p w:rsidR="00ED6D37" w:rsidRDefault="00AD0E45" w:rsidP="00AA7DC0">
      <w:pPr>
        <w:pStyle w:val="Akapitzlist"/>
        <w:numPr>
          <w:ilvl w:val="0"/>
          <w:numId w:val="18"/>
        </w:numPr>
      </w:pPr>
      <w:r w:rsidRPr="00AD0E45">
        <w:t>Wiśniewo.</w:t>
      </w:r>
    </w:p>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C13FF9" w:rsidRDefault="00C13FF9" w:rsidP="00C13FF9"/>
    <w:p w:rsidR="005149BA" w:rsidRDefault="005149BA" w:rsidP="005149BA">
      <w:pPr>
        <w:pStyle w:val="Styl2"/>
        <w:spacing w:line="360" w:lineRule="auto"/>
      </w:pPr>
      <w:bookmarkStart w:id="84" w:name="_Toc506286932"/>
      <w:bookmarkStart w:id="85" w:name="_Toc523732378"/>
      <w:bookmarkStart w:id="86" w:name="_Toc524375243"/>
      <w:bookmarkStart w:id="87" w:name="_Toc524936070"/>
      <w:bookmarkStart w:id="88" w:name="_Toc526758915"/>
      <w:bookmarkStart w:id="89" w:name="_Toc528057767"/>
      <w:bookmarkStart w:id="90" w:name="_Toc528747998"/>
      <w:bookmarkStart w:id="91" w:name="_Toc535233333"/>
      <w:r w:rsidRPr="00E457E6">
        <w:t>4.3 Demografia i gospodarka</w:t>
      </w:r>
      <w:bookmarkEnd w:id="84"/>
      <w:bookmarkEnd w:id="85"/>
      <w:bookmarkEnd w:id="86"/>
      <w:bookmarkEnd w:id="87"/>
      <w:bookmarkEnd w:id="88"/>
      <w:bookmarkEnd w:id="89"/>
      <w:bookmarkEnd w:id="90"/>
      <w:bookmarkEnd w:id="91"/>
    </w:p>
    <w:p w:rsidR="0082681A" w:rsidRDefault="0082681A" w:rsidP="0082681A">
      <w:r>
        <w:t xml:space="preserve">Według danych Głównego Urzędu Statystycznego (GUS </w:t>
      </w:r>
      <w:r w:rsidRPr="000F317F">
        <w:t xml:space="preserve">wg stanu na </w:t>
      </w:r>
      <w:r>
        <w:t>31 grudnia 2017</w:t>
      </w:r>
      <w:r w:rsidRPr="000F317F">
        <w:t xml:space="preserve"> roku</w:t>
      </w:r>
      <w:r>
        <w:t>) populacja w Mławie wynosiła</w:t>
      </w:r>
      <w:r w:rsidR="00FF75CA">
        <w:t xml:space="preserve"> 31 243</w:t>
      </w:r>
      <w:r w:rsidRPr="000747AB">
        <w:t>mieszkańców.</w:t>
      </w:r>
    </w:p>
    <w:p w:rsidR="00FF75CA" w:rsidRDefault="00FF75CA" w:rsidP="0082681A"/>
    <w:p w:rsidR="0082681A" w:rsidRDefault="0082681A" w:rsidP="0082681A">
      <w:pPr>
        <w:keepNext/>
        <w:jc w:val="center"/>
      </w:pPr>
      <w:r>
        <w:rPr>
          <w:noProof/>
          <w:lang w:eastAsia="pl-PL"/>
        </w:rPr>
        <w:drawing>
          <wp:inline distT="0" distB="0" distL="0" distR="0">
            <wp:extent cx="4572000" cy="2743200"/>
            <wp:effectExtent l="0" t="0" r="0" b="0"/>
            <wp:docPr id="4" name="Wykres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A131CF-CB55-4C0E-8A31-6E3C54A36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49BA" w:rsidRDefault="0082681A" w:rsidP="0082681A">
      <w:pPr>
        <w:pStyle w:val="Legenda"/>
      </w:pPr>
      <w:bookmarkStart w:id="92" w:name="_Toc535786967"/>
      <w:r>
        <w:t xml:space="preserve">Wykres </w:t>
      </w:r>
      <w:r w:rsidR="00135E52">
        <w:rPr>
          <w:noProof/>
        </w:rPr>
        <w:fldChar w:fldCharType="begin"/>
      </w:r>
      <w:r w:rsidR="003F6798">
        <w:rPr>
          <w:noProof/>
        </w:rPr>
        <w:instrText xml:space="preserve"> SEQ Wykres \* ARABIC </w:instrText>
      </w:r>
      <w:r w:rsidR="00135E52">
        <w:rPr>
          <w:noProof/>
        </w:rPr>
        <w:fldChar w:fldCharType="separate"/>
      </w:r>
      <w:r w:rsidR="00AD136C">
        <w:rPr>
          <w:noProof/>
        </w:rPr>
        <w:t>1</w:t>
      </w:r>
      <w:r w:rsidR="00135E52">
        <w:rPr>
          <w:noProof/>
        </w:rPr>
        <w:fldChar w:fldCharType="end"/>
      </w:r>
      <w:r w:rsidRPr="00BD7DCD">
        <w:t>Liczba mieszkańców M</w:t>
      </w:r>
      <w:r w:rsidR="001034F6">
        <w:t>ławy</w:t>
      </w:r>
      <w:r w:rsidRPr="00BD7DCD">
        <w:t xml:space="preserve"> w latach 2010-2017</w:t>
      </w:r>
      <w:r>
        <w:t>.</w:t>
      </w:r>
      <w:bookmarkEnd w:id="92"/>
    </w:p>
    <w:p w:rsidR="0082681A" w:rsidRDefault="0082681A" w:rsidP="0082681A">
      <w:pPr>
        <w:jc w:val="right"/>
        <w:rPr>
          <w:i/>
          <w:sz w:val="18"/>
          <w:szCs w:val="18"/>
        </w:rPr>
      </w:pPr>
      <w:r w:rsidRPr="008E0740">
        <w:rPr>
          <w:i/>
          <w:sz w:val="18"/>
          <w:szCs w:val="18"/>
        </w:rPr>
        <w:t>Źródło: opracowanie Grupa CDE Sp. z o.o. na podstawie danych GUS</w:t>
      </w:r>
    </w:p>
    <w:p w:rsidR="00C13FF9" w:rsidRDefault="00C13FF9" w:rsidP="0082681A">
      <w:pPr>
        <w:jc w:val="right"/>
        <w:rPr>
          <w:i/>
          <w:sz w:val="18"/>
          <w:szCs w:val="18"/>
        </w:rPr>
      </w:pPr>
    </w:p>
    <w:p w:rsidR="00C13FF9" w:rsidRDefault="00C13FF9" w:rsidP="0082681A">
      <w:pPr>
        <w:jc w:val="right"/>
        <w:rPr>
          <w:i/>
          <w:sz w:val="18"/>
          <w:szCs w:val="18"/>
        </w:rPr>
      </w:pPr>
    </w:p>
    <w:p w:rsidR="00FF75CA" w:rsidRPr="00E457E6" w:rsidRDefault="00FF75CA" w:rsidP="00FF75CA">
      <w:pPr>
        <w:pStyle w:val="Styl2"/>
      </w:pPr>
      <w:bookmarkStart w:id="93" w:name="_Toc528749849"/>
      <w:bookmarkStart w:id="94" w:name="_Toc535233334"/>
      <w:r w:rsidRPr="00E457E6">
        <w:t>4.4 Uwarunkowania demograficzne</w:t>
      </w:r>
      <w:bookmarkEnd w:id="93"/>
      <w:bookmarkEnd w:id="94"/>
    </w:p>
    <w:p w:rsidR="00FF75CA" w:rsidRDefault="008329EC" w:rsidP="00FF75CA">
      <w:r>
        <w:t>Mława</w:t>
      </w:r>
      <w:r w:rsidR="00FF75CA" w:rsidRPr="003230D4">
        <w:t xml:space="preserve">, zgodnie z danymi prezentowanymi w Banku Danych Lokalnych GUS, w 2017 roku zamieszkiwało </w:t>
      </w:r>
      <w:r w:rsidR="00CC03FE">
        <w:t xml:space="preserve">16 379 </w:t>
      </w:r>
      <w:r w:rsidR="00FF75CA" w:rsidRPr="00BB0987">
        <w:t xml:space="preserve">kobiet i </w:t>
      </w:r>
      <w:r w:rsidR="00CC03FE">
        <w:t>14 864</w:t>
      </w:r>
      <w:r w:rsidR="00FF75CA" w:rsidRPr="003230D4">
        <w:t>mężczyzn</w:t>
      </w:r>
      <w:r w:rsidR="00FF75CA">
        <w:t>.</w:t>
      </w:r>
      <w:r w:rsidR="00FF75CA" w:rsidRPr="003230D4">
        <w:t xml:space="preserve"> Poniższa tabela przedstawia zmiany liczby ludności </w:t>
      </w:r>
      <w:r w:rsidR="00FF75CA">
        <w:t>M</w:t>
      </w:r>
      <w:r>
        <w:t>ławy</w:t>
      </w:r>
      <w:r w:rsidR="00FF75CA" w:rsidRPr="003230D4">
        <w:t xml:space="preserve"> w latach 201</w:t>
      </w:r>
      <w:r w:rsidR="00FF75CA">
        <w:t>0</w:t>
      </w:r>
      <w:r w:rsidR="00FF75CA" w:rsidRPr="003230D4">
        <w:t>-2017</w:t>
      </w:r>
      <w:r w:rsidR="00FF75CA">
        <w:t>.</w:t>
      </w:r>
    </w:p>
    <w:p w:rsidR="00336B23" w:rsidRDefault="00336B23" w:rsidP="00336B23">
      <w:pPr>
        <w:pStyle w:val="Legenda"/>
        <w:keepNext/>
      </w:pPr>
      <w:bookmarkStart w:id="95" w:name="_Toc535583560"/>
      <w:r>
        <w:t xml:space="preserve">Tabela </w:t>
      </w:r>
      <w:r w:rsidR="00135E52">
        <w:rPr>
          <w:noProof/>
        </w:rPr>
        <w:fldChar w:fldCharType="begin"/>
      </w:r>
      <w:r w:rsidR="00350E1F">
        <w:rPr>
          <w:noProof/>
        </w:rPr>
        <w:instrText xml:space="preserve"> SEQ Tabela \* ARABIC </w:instrText>
      </w:r>
      <w:r w:rsidR="00135E52">
        <w:rPr>
          <w:noProof/>
        </w:rPr>
        <w:fldChar w:fldCharType="separate"/>
      </w:r>
      <w:r w:rsidR="00AD136C">
        <w:rPr>
          <w:noProof/>
        </w:rPr>
        <w:t>1</w:t>
      </w:r>
      <w:r w:rsidR="00135E52">
        <w:rPr>
          <w:noProof/>
        </w:rPr>
        <w:fldChar w:fldCharType="end"/>
      </w:r>
      <w:r w:rsidRPr="00446467">
        <w:t>Liczba ludności M</w:t>
      </w:r>
      <w:r>
        <w:t>ławy</w:t>
      </w:r>
      <w:r w:rsidRPr="00446467">
        <w:t xml:space="preserve"> w latach 2010-2017 (źródło: Bank Danych Lokalnych, GUS).</w:t>
      </w:r>
      <w:bookmarkEnd w:id="95"/>
    </w:p>
    <w:tbl>
      <w:tblPr>
        <w:tblStyle w:val="GridTable4Accent5"/>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960"/>
        <w:gridCol w:w="960"/>
        <w:gridCol w:w="960"/>
        <w:gridCol w:w="960"/>
        <w:gridCol w:w="960"/>
        <w:gridCol w:w="960"/>
        <w:gridCol w:w="960"/>
        <w:gridCol w:w="960"/>
      </w:tblGrid>
      <w:tr w:rsidR="00FF75CA" w:rsidRPr="00FF75CA" w:rsidTr="009F263B">
        <w:trPr>
          <w:cnfStyle w:val="100000000000"/>
          <w:trHeight w:val="290"/>
        </w:trPr>
        <w:tc>
          <w:tcPr>
            <w:cnfStyle w:val="001000000000"/>
            <w:tcW w:w="1133" w:type="dxa"/>
            <w:tcBorders>
              <w:top w:val="none" w:sz="0" w:space="0" w:color="auto"/>
              <w:left w:val="none" w:sz="0" w:space="0" w:color="auto"/>
              <w:bottom w:val="none" w:sz="0" w:space="0" w:color="auto"/>
              <w:right w:val="none" w:sz="0" w:space="0" w:color="auto"/>
            </w:tcBorders>
            <w:noWrap/>
            <w:hideMark/>
          </w:tcPr>
          <w:p w:rsidR="00FF75CA" w:rsidRPr="00FF75CA" w:rsidRDefault="00FF75CA" w:rsidP="00FF75CA">
            <w:pPr>
              <w:spacing w:line="240" w:lineRule="auto"/>
              <w:jc w:val="left"/>
              <w:rPr>
                <w:rFonts w:ascii="Times New Roman" w:eastAsia="Times New Roman" w:hAnsi="Times New Roman" w:cs="Times New Roman"/>
                <w:sz w:val="20"/>
                <w:szCs w:val="24"/>
              </w:rPr>
            </w:pP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2010</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2011</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2012</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2013</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2014</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2015</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2016</w:t>
            </w:r>
          </w:p>
        </w:tc>
        <w:tc>
          <w:tcPr>
            <w:tcW w:w="960" w:type="dxa"/>
            <w:tcBorders>
              <w:top w:val="none" w:sz="0" w:space="0" w:color="auto"/>
              <w:left w:val="none" w:sz="0" w:space="0" w:color="auto"/>
              <w:bottom w:val="none" w:sz="0" w:space="0" w:color="auto"/>
              <w:right w:val="none" w:sz="0" w:space="0" w:color="auto"/>
            </w:tcBorders>
            <w:noWrap/>
            <w:hideMark/>
          </w:tcPr>
          <w:p w:rsidR="00FF75CA" w:rsidRPr="009F263B" w:rsidRDefault="00FF75CA" w:rsidP="00FF75CA">
            <w:pPr>
              <w:spacing w:line="240" w:lineRule="auto"/>
              <w:jc w:val="right"/>
              <w:cnfStyle w:val="100000000000"/>
              <w:rPr>
                <w:rFonts w:ascii="Calibri" w:eastAsia="Times New Roman" w:hAnsi="Calibri" w:cs="Times New Roman"/>
              </w:rPr>
            </w:pPr>
            <w:r w:rsidRPr="009F263B">
              <w:rPr>
                <w:rFonts w:ascii="Calibri" w:eastAsia="Times New Roman" w:hAnsi="Calibri" w:cs="Times New Roman"/>
              </w:rPr>
              <w:t>2017</w:t>
            </w:r>
          </w:p>
        </w:tc>
      </w:tr>
      <w:tr w:rsidR="00FF75CA" w:rsidRPr="00FF75CA" w:rsidTr="009F263B">
        <w:trPr>
          <w:cnfStyle w:val="000000100000"/>
          <w:trHeight w:val="290"/>
        </w:trPr>
        <w:tc>
          <w:tcPr>
            <w:cnfStyle w:val="001000000000"/>
            <w:tcW w:w="1133" w:type="dxa"/>
            <w:noWrap/>
            <w:hideMark/>
          </w:tcPr>
          <w:p w:rsidR="00FF75CA" w:rsidRPr="00FF75CA" w:rsidRDefault="00FF75CA" w:rsidP="00FF75CA">
            <w:pPr>
              <w:spacing w:line="240" w:lineRule="auto"/>
              <w:jc w:val="left"/>
              <w:rPr>
                <w:rFonts w:ascii="Calibri" w:eastAsia="Times New Roman" w:hAnsi="Calibri" w:cs="Times New Roman"/>
                <w:color w:val="000000"/>
              </w:rPr>
            </w:pPr>
            <w:r w:rsidRPr="00FF75CA">
              <w:rPr>
                <w:rFonts w:ascii="Calibri" w:eastAsia="Times New Roman" w:hAnsi="Calibri" w:cs="Times New Roman"/>
                <w:color w:val="000000"/>
              </w:rPr>
              <w:t>Mężczyźni</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14739</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14757</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14755</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14708</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14777</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14777</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14819</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14864</w:t>
            </w:r>
          </w:p>
        </w:tc>
      </w:tr>
      <w:tr w:rsidR="00FF75CA" w:rsidRPr="00FF75CA" w:rsidTr="009F263B">
        <w:trPr>
          <w:trHeight w:val="290"/>
        </w:trPr>
        <w:tc>
          <w:tcPr>
            <w:cnfStyle w:val="001000000000"/>
            <w:tcW w:w="1133" w:type="dxa"/>
            <w:noWrap/>
            <w:hideMark/>
          </w:tcPr>
          <w:p w:rsidR="00FF75CA" w:rsidRPr="00FF75CA" w:rsidRDefault="00FF75CA" w:rsidP="00FF75CA">
            <w:pPr>
              <w:spacing w:line="240" w:lineRule="auto"/>
              <w:jc w:val="left"/>
              <w:rPr>
                <w:rFonts w:ascii="Calibri" w:eastAsia="Times New Roman" w:hAnsi="Calibri" w:cs="Times New Roman"/>
                <w:color w:val="000000"/>
              </w:rPr>
            </w:pPr>
            <w:r w:rsidRPr="00FF75CA">
              <w:rPr>
                <w:rFonts w:ascii="Calibri" w:eastAsia="Times New Roman" w:hAnsi="Calibri" w:cs="Times New Roman"/>
                <w:color w:val="000000"/>
              </w:rPr>
              <w:t>Kobiety</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16104</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16173</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16214</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16172</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16191</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16253</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16330</w:t>
            </w:r>
          </w:p>
        </w:tc>
        <w:tc>
          <w:tcPr>
            <w:tcW w:w="960" w:type="dxa"/>
            <w:noWrap/>
            <w:hideMark/>
          </w:tcPr>
          <w:p w:rsidR="00FF75CA" w:rsidRPr="00FF75CA" w:rsidRDefault="00FF75CA" w:rsidP="00FF75CA">
            <w:pPr>
              <w:spacing w:line="240" w:lineRule="auto"/>
              <w:jc w:val="right"/>
              <w:cnfStyle w:val="000000000000"/>
              <w:rPr>
                <w:rFonts w:ascii="Calibri" w:eastAsia="Times New Roman" w:hAnsi="Calibri" w:cs="Times New Roman"/>
                <w:color w:val="000000"/>
              </w:rPr>
            </w:pPr>
            <w:r w:rsidRPr="00FF75CA">
              <w:rPr>
                <w:rFonts w:ascii="Calibri" w:eastAsia="Times New Roman" w:hAnsi="Calibri" w:cs="Times New Roman"/>
                <w:color w:val="000000"/>
              </w:rPr>
              <w:t>16379</w:t>
            </w:r>
          </w:p>
        </w:tc>
      </w:tr>
      <w:tr w:rsidR="00FF75CA" w:rsidRPr="00FF75CA" w:rsidTr="009F263B">
        <w:trPr>
          <w:cnfStyle w:val="000000100000"/>
          <w:trHeight w:val="290"/>
        </w:trPr>
        <w:tc>
          <w:tcPr>
            <w:cnfStyle w:val="001000000000"/>
            <w:tcW w:w="1133" w:type="dxa"/>
            <w:noWrap/>
            <w:hideMark/>
          </w:tcPr>
          <w:p w:rsidR="00FF75CA" w:rsidRPr="00FF75CA" w:rsidRDefault="00FF75CA" w:rsidP="00FF75CA">
            <w:pPr>
              <w:spacing w:line="240" w:lineRule="auto"/>
              <w:jc w:val="left"/>
              <w:rPr>
                <w:rFonts w:ascii="Calibri" w:eastAsia="Times New Roman" w:hAnsi="Calibri" w:cs="Times New Roman"/>
                <w:color w:val="000000"/>
              </w:rPr>
            </w:pPr>
            <w:r w:rsidRPr="00FF75CA">
              <w:rPr>
                <w:rFonts w:ascii="Calibri" w:eastAsia="Times New Roman" w:hAnsi="Calibri" w:cs="Times New Roman"/>
                <w:color w:val="000000"/>
              </w:rPr>
              <w:t>Ogółem</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30843</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30930</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30969</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30880</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30968</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31030</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31149</w:t>
            </w:r>
          </w:p>
        </w:tc>
        <w:tc>
          <w:tcPr>
            <w:tcW w:w="960" w:type="dxa"/>
            <w:noWrap/>
            <w:hideMark/>
          </w:tcPr>
          <w:p w:rsidR="00FF75CA" w:rsidRPr="00FF75CA" w:rsidRDefault="00FF75CA" w:rsidP="00FF75CA">
            <w:pPr>
              <w:spacing w:line="240" w:lineRule="auto"/>
              <w:jc w:val="right"/>
              <w:cnfStyle w:val="000000100000"/>
              <w:rPr>
                <w:rFonts w:ascii="Calibri" w:eastAsia="Times New Roman" w:hAnsi="Calibri" w:cs="Times New Roman"/>
                <w:color w:val="000000"/>
              </w:rPr>
            </w:pPr>
            <w:r w:rsidRPr="00FF75CA">
              <w:rPr>
                <w:rFonts w:ascii="Calibri" w:eastAsia="Times New Roman" w:hAnsi="Calibri" w:cs="Times New Roman"/>
                <w:color w:val="000000"/>
              </w:rPr>
              <w:t>31243</w:t>
            </w:r>
          </w:p>
        </w:tc>
      </w:tr>
    </w:tbl>
    <w:p w:rsidR="00162590" w:rsidRDefault="00162590" w:rsidP="00162590">
      <w:pPr>
        <w:jc w:val="right"/>
        <w:rPr>
          <w:i/>
          <w:sz w:val="20"/>
        </w:rPr>
      </w:pPr>
      <w:r w:rsidRPr="008E0740">
        <w:rPr>
          <w:i/>
          <w:sz w:val="20"/>
        </w:rPr>
        <w:t>Źródło: opracowanie Grupa CDE Sp. z o.o. na podstawie danych GUS</w:t>
      </w:r>
    </w:p>
    <w:p w:rsidR="00FF75CA" w:rsidRPr="00FF75CA" w:rsidRDefault="00FF75CA" w:rsidP="00FF75CA">
      <w:pPr>
        <w:rPr>
          <w:sz w:val="18"/>
          <w:szCs w:val="18"/>
        </w:rPr>
      </w:pPr>
    </w:p>
    <w:p w:rsidR="001034F6" w:rsidRPr="00E457E6" w:rsidRDefault="001034F6" w:rsidP="001034F6">
      <w:pPr>
        <w:pStyle w:val="Styl2"/>
        <w:spacing w:line="360" w:lineRule="auto"/>
      </w:pPr>
      <w:bookmarkStart w:id="96" w:name="_Toc528140059"/>
      <w:bookmarkStart w:id="97" w:name="_Toc528748000"/>
      <w:bookmarkStart w:id="98" w:name="_Toc535233335"/>
      <w:r w:rsidRPr="00E457E6">
        <w:t>4.5 Uwarunkowania gospodarcze</w:t>
      </w:r>
      <w:bookmarkEnd w:id="96"/>
      <w:bookmarkEnd w:id="97"/>
      <w:bookmarkEnd w:id="98"/>
    </w:p>
    <w:p w:rsidR="00950CC7" w:rsidRPr="00950CC7" w:rsidRDefault="001034F6" w:rsidP="00950CC7">
      <w:r w:rsidRPr="003230D4">
        <w:t>Zgodnie z danym GUS, w 2017 r.</w:t>
      </w:r>
      <w:r>
        <w:t xml:space="preserve"> w Mławie w roku 2017 w rejestrze REGON zarejestrowanych </w:t>
      </w:r>
      <w:r w:rsidRPr="00162590">
        <w:t>było</w:t>
      </w:r>
      <w:r w:rsidR="00162590" w:rsidRPr="00162590">
        <w:t xml:space="preserve"> 3143 </w:t>
      </w:r>
      <w:r w:rsidRPr="00162590">
        <w:t>podmiotów</w:t>
      </w:r>
      <w:r>
        <w:t xml:space="preserve"> gospodarki narodowej.</w:t>
      </w:r>
      <w:r w:rsidR="00135E52">
        <w:fldChar w:fldCharType="begin"/>
      </w:r>
      <w:r w:rsidR="00162590">
        <w:instrText xml:space="preserve"> LINK </w:instrText>
      </w:r>
      <w:r w:rsidR="007861DB">
        <w:instrText xml:space="preserve">Excel.Sheet.12 "C:\\Users\\Justyna\\Desktop\\CDE PONE\\Mława\\dane ststystyczne mława.xlsx" Arkusz2!W1K1:W5K9 </w:instrText>
      </w:r>
      <w:r w:rsidR="00162590">
        <w:instrText xml:space="preserve">\a \f 5 \h  \* MERGEFORMAT </w:instrText>
      </w:r>
      <w:r w:rsidR="00135E52">
        <w:fldChar w:fldCharType="separate"/>
      </w:r>
    </w:p>
    <w:tbl>
      <w:tblPr>
        <w:tblStyle w:val="GridTable4Accent5"/>
        <w:tblW w:w="9072" w:type="dxa"/>
        <w:tblLook w:val="04A0"/>
      </w:tblPr>
      <w:tblGrid>
        <w:gridCol w:w="3072"/>
        <w:gridCol w:w="750"/>
        <w:gridCol w:w="750"/>
        <w:gridCol w:w="750"/>
        <w:gridCol w:w="750"/>
        <w:gridCol w:w="750"/>
        <w:gridCol w:w="750"/>
        <w:gridCol w:w="750"/>
        <w:gridCol w:w="750"/>
      </w:tblGrid>
      <w:tr w:rsidR="00950CC7" w:rsidRPr="00950CC7" w:rsidTr="00950CC7">
        <w:trPr>
          <w:cnfStyle w:val="100000000000"/>
          <w:divId w:val="1181121598"/>
          <w:trHeight w:val="300"/>
        </w:trPr>
        <w:tc>
          <w:tcPr>
            <w:cnfStyle w:val="001000000000"/>
            <w:tcW w:w="3072" w:type="dxa"/>
            <w:noWrap/>
            <w:hideMark/>
          </w:tcPr>
          <w:p w:rsidR="00950CC7" w:rsidRPr="00950CC7" w:rsidRDefault="00950CC7" w:rsidP="00950CC7">
            <w:pPr>
              <w:jc w:val="center"/>
              <w:rPr>
                <w:rFonts w:asciiTheme="majorHAnsi" w:hAnsiTheme="majorHAnsi"/>
              </w:rPr>
            </w:pPr>
            <w:r w:rsidRPr="00950CC7">
              <w:rPr>
                <w:rFonts w:asciiTheme="majorHAnsi" w:hAnsiTheme="majorHAnsi"/>
              </w:rPr>
              <w:t>Rok</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2010</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2011</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2012</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2013</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2014</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2015</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2016</w:t>
            </w:r>
          </w:p>
        </w:tc>
        <w:tc>
          <w:tcPr>
            <w:tcW w:w="750" w:type="dxa"/>
            <w:noWrap/>
            <w:hideMark/>
          </w:tcPr>
          <w:p w:rsidR="00950CC7" w:rsidRPr="00950CC7" w:rsidRDefault="00950CC7" w:rsidP="00950CC7">
            <w:pPr>
              <w:jc w:val="center"/>
              <w:cnfStyle w:val="100000000000"/>
              <w:rPr>
                <w:rFonts w:asciiTheme="majorHAnsi" w:hAnsiTheme="majorHAnsi"/>
                <w:bCs w:val="0"/>
              </w:rPr>
            </w:pPr>
            <w:r w:rsidRPr="00950CC7">
              <w:rPr>
                <w:rFonts w:asciiTheme="majorHAnsi" w:hAnsiTheme="majorHAnsi"/>
                <w:bCs w:val="0"/>
              </w:rPr>
              <w:t>2017</w:t>
            </w:r>
          </w:p>
        </w:tc>
      </w:tr>
      <w:tr w:rsidR="00950CC7" w:rsidRPr="00950CC7" w:rsidTr="00950CC7">
        <w:trPr>
          <w:cnfStyle w:val="000000100000"/>
          <w:divId w:val="1181121598"/>
          <w:trHeight w:val="300"/>
        </w:trPr>
        <w:tc>
          <w:tcPr>
            <w:cnfStyle w:val="001000000000"/>
            <w:tcW w:w="3072" w:type="dxa"/>
            <w:noWrap/>
            <w:hideMark/>
          </w:tcPr>
          <w:p w:rsidR="00950CC7" w:rsidRPr="00950CC7" w:rsidRDefault="00950CC7" w:rsidP="00950CC7">
            <w:pPr>
              <w:jc w:val="center"/>
              <w:rPr>
                <w:rFonts w:asciiTheme="majorHAnsi" w:hAnsiTheme="majorHAnsi"/>
                <w:bCs w:val="0"/>
              </w:rPr>
            </w:pPr>
            <w:r w:rsidRPr="00950CC7">
              <w:rPr>
                <w:rFonts w:asciiTheme="majorHAnsi" w:hAnsiTheme="majorHAnsi"/>
                <w:bCs w:val="0"/>
              </w:rPr>
              <w:t>rolnictwo, leśnictwo, łowiectwo i rybactwo</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89</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91</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84</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79</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64</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72</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72</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75</w:t>
            </w:r>
          </w:p>
        </w:tc>
      </w:tr>
      <w:tr w:rsidR="00950CC7" w:rsidRPr="00950CC7" w:rsidTr="00950CC7">
        <w:trPr>
          <w:divId w:val="1181121598"/>
          <w:trHeight w:val="300"/>
        </w:trPr>
        <w:tc>
          <w:tcPr>
            <w:cnfStyle w:val="001000000000"/>
            <w:tcW w:w="3072" w:type="dxa"/>
            <w:noWrap/>
            <w:hideMark/>
          </w:tcPr>
          <w:p w:rsidR="00950CC7" w:rsidRPr="00950CC7" w:rsidRDefault="00950CC7" w:rsidP="00950CC7">
            <w:pPr>
              <w:jc w:val="center"/>
              <w:rPr>
                <w:rFonts w:asciiTheme="majorHAnsi" w:hAnsiTheme="majorHAnsi"/>
                <w:bCs w:val="0"/>
              </w:rPr>
            </w:pPr>
            <w:r w:rsidRPr="00950CC7">
              <w:rPr>
                <w:rFonts w:asciiTheme="majorHAnsi" w:hAnsiTheme="majorHAnsi"/>
                <w:bCs w:val="0"/>
              </w:rPr>
              <w:t>przemysł i budownictwo</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612</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580</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568</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576</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576</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697</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605</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633</w:t>
            </w:r>
          </w:p>
        </w:tc>
      </w:tr>
      <w:tr w:rsidR="00950CC7" w:rsidRPr="00950CC7" w:rsidTr="00950CC7">
        <w:trPr>
          <w:cnfStyle w:val="000000100000"/>
          <w:divId w:val="1181121598"/>
          <w:trHeight w:val="300"/>
        </w:trPr>
        <w:tc>
          <w:tcPr>
            <w:cnfStyle w:val="001000000000"/>
            <w:tcW w:w="3072" w:type="dxa"/>
            <w:noWrap/>
            <w:hideMark/>
          </w:tcPr>
          <w:p w:rsidR="00950CC7" w:rsidRPr="00950CC7" w:rsidRDefault="00950CC7" w:rsidP="00950CC7">
            <w:pPr>
              <w:jc w:val="center"/>
              <w:rPr>
                <w:rFonts w:asciiTheme="majorHAnsi" w:hAnsiTheme="majorHAnsi"/>
                <w:bCs w:val="0"/>
              </w:rPr>
            </w:pPr>
            <w:r w:rsidRPr="00950CC7">
              <w:rPr>
                <w:rFonts w:asciiTheme="majorHAnsi" w:hAnsiTheme="majorHAnsi"/>
                <w:bCs w:val="0"/>
              </w:rPr>
              <w:t>pozostała działalność</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2352</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2224</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2250</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2302</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2356</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2397</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2404</w:t>
            </w:r>
          </w:p>
        </w:tc>
        <w:tc>
          <w:tcPr>
            <w:tcW w:w="750" w:type="dxa"/>
            <w:noWrap/>
            <w:hideMark/>
          </w:tcPr>
          <w:p w:rsidR="00950CC7" w:rsidRPr="00950CC7" w:rsidRDefault="00950CC7" w:rsidP="00950CC7">
            <w:pPr>
              <w:jc w:val="center"/>
              <w:cnfStyle w:val="000000100000"/>
              <w:rPr>
                <w:rFonts w:asciiTheme="majorHAnsi" w:hAnsiTheme="majorHAnsi"/>
              </w:rPr>
            </w:pPr>
            <w:r w:rsidRPr="00950CC7">
              <w:rPr>
                <w:rFonts w:asciiTheme="majorHAnsi" w:hAnsiTheme="majorHAnsi"/>
              </w:rPr>
              <w:t>2435</w:t>
            </w:r>
          </w:p>
        </w:tc>
      </w:tr>
      <w:tr w:rsidR="00950CC7" w:rsidRPr="00950CC7" w:rsidTr="00950CC7">
        <w:trPr>
          <w:divId w:val="1181121598"/>
          <w:trHeight w:val="300"/>
        </w:trPr>
        <w:tc>
          <w:tcPr>
            <w:cnfStyle w:val="001000000000"/>
            <w:tcW w:w="3072" w:type="dxa"/>
            <w:noWrap/>
            <w:hideMark/>
          </w:tcPr>
          <w:p w:rsidR="00950CC7" w:rsidRPr="00950CC7" w:rsidRDefault="00950CC7" w:rsidP="00950CC7">
            <w:pPr>
              <w:jc w:val="center"/>
              <w:rPr>
                <w:rFonts w:asciiTheme="majorHAnsi" w:hAnsiTheme="majorHAnsi"/>
                <w:bCs w:val="0"/>
              </w:rPr>
            </w:pPr>
            <w:r w:rsidRPr="00950CC7">
              <w:rPr>
                <w:rFonts w:asciiTheme="majorHAnsi" w:hAnsiTheme="majorHAnsi"/>
                <w:bCs w:val="0"/>
              </w:rPr>
              <w:t>SUMA</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3053</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2895</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2902</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2957</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2996</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3166</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3081</w:t>
            </w:r>
          </w:p>
        </w:tc>
        <w:tc>
          <w:tcPr>
            <w:tcW w:w="750" w:type="dxa"/>
            <w:noWrap/>
            <w:hideMark/>
          </w:tcPr>
          <w:p w:rsidR="00950CC7" w:rsidRPr="00950CC7" w:rsidRDefault="00950CC7" w:rsidP="00950CC7">
            <w:pPr>
              <w:jc w:val="center"/>
              <w:cnfStyle w:val="000000000000"/>
              <w:rPr>
                <w:rFonts w:asciiTheme="majorHAnsi" w:hAnsiTheme="majorHAnsi"/>
              </w:rPr>
            </w:pPr>
            <w:r w:rsidRPr="00950CC7">
              <w:rPr>
                <w:rFonts w:asciiTheme="majorHAnsi" w:hAnsiTheme="majorHAnsi"/>
              </w:rPr>
              <w:t>3143</w:t>
            </w:r>
          </w:p>
        </w:tc>
      </w:tr>
    </w:tbl>
    <w:p w:rsidR="00162590" w:rsidRDefault="00135E52" w:rsidP="00162590">
      <w:pPr>
        <w:jc w:val="right"/>
        <w:rPr>
          <w:i/>
          <w:sz w:val="20"/>
        </w:rPr>
      </w:pPr>
      <w:r>
        <w:fldChar w:fldCharType="end"/>
      </w:r>
      <w:r w:rsidR="00162590" w:rsidRPr="008E0740">
        <w:rPr>
          <w:i/>
          <w:sz w:val="20"/>
        </w:rPr>
        <w:t>Źródło: opracowanie Grupa CDE Sp. z o.o. na podstawie danych GUS</w:t>
      </w:r>
    </w:p>
    <w:p w:rsidR="001E2C72" w:rsidRDefault="001E2C72" w:rsidP="001E2C72">
      <w:r>
        <w:t xml:space="preserve">W Mławie w roku 2017 w rejestrze REGON zarejestrowane były 3 143 podmioty gospodarki narodowej, z czego 2 357 stanowiły osoby fizyczne prowadzące działalność gospodarczą. </w:t>
      </w:r>
    </w:p>
    <w:p w:rsidR="00162590" w:rsidRDefault="00162590" w:rsidP="00162590">
      <w:pPr>
        <w:keepNext/>
        <w:jc w:val="center"/>
      </w:pPr>
      <w:r>
        <w:rPr>
          <w:noProof/>
          <w:lang w:eastAsia="pl-PL"/>
        </w:rPr>
        <w:lastRenderedPageBreak/>
        <w:drawing>
          <wp:inline distT="0" distB="0" distL="0" distR="0">
            <wp:extent cx="4572000" cy="2743200"/>
            <wp:effectExtent l="0" t="0" r="0" b="0"/>
            <wp:docPr id="6" name="Wykres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81CD02-46C1-4F8C-8D0D-101F6D7E6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681A" w:rsidRDefault="00162590" w:rsidP="00162590">
      <w:pPr>
        <w:pStyle w:val="Legenda"/>
      </w:pPr>
      <w:bookmarkStart w:id="99" w:name="_Toc535786968"/>
      <w:r>
        <w:t xml:space="preserve">Wykres </w:t>
      </w:r>
      <w:r w:rsidR="00135E52">
        <w:rPr>
          <w:noProof/>
        </w:rPr>
        <w:fldChar w:fldCharType="begin"/>
      </w:r>
      <w:r w:rsidR="00350E1F">
        <w:rPr>
          <w:noProof/>
        </w:rPr>
        <w:instrText xml:space="preserve"> SEQ Wykres \* ARABIC </w:instrText>
      </w:r>
      <w:r w:rsidR="00135E52">
        <w:rPr>
          <w:noProof/>
        </w:rPr>
        <w:fldChar w:fldCharType="separate"/>
      </w:r>
      <w:r w:rsidR="00AD136C">
        <w:rPr>
          <w:noProof/>
        </w:rPr>
        <w:t>2</w:t>
      </w:r>
      <w:r w:rsidR="00135E52">
        <w:rPr>
          <w:noProof/>
        </w:rPr>
        <w:fldChar w:fldCharType="end"/>
      </w:r>
      <w:r w:rsidRPr="00307A13">
        <w:t xml:space="preserve">Podmioty gospodarki narodowej wpisane do rejestru REGON działające w </w:t>
      </w:r>
      <w:r>
        <w:t>Mławie</w:t>
      </w:r>
      <w:r w:rsidRPr="00307A13">
        <w:t>. Stan na rok 2017.</w:t>
      </w:r>
      <w:bookmarkEnd w:id="99"/>
    </w:p>
    <w:p w:rsidR="00162590" w:rsidRDefault="00162590" w:rsidP="00162590">
      <w:pPr>
        <w:jc w:val="right"/>
        <w:rPr>
          <w:i/>
          <w:sz w:val="20"/>
        </w:rPr>
      </w:pPr>
      <w:r w:rsidRPr="008E0740">
        <w:rPr>
          <w:i/>
          <w:sz w:val="20"/>
        </w:rPr>
        <w:t>Źródło: opracowanie Grupa CDE Sp. z o.o. na podstawie danych GUS</w:t>
      </w:r>
    </w:p>
    <w:p w:rsidR="00DE09A6" w:rsidRPr="00950CC7" w:rsidRDefault="00DE09A6" w:rsidP="00DE09A6">
      <w:r>
        <w:t>2,4% (75) podmiotów jako rodzaj działalności deklarowało rolnictwo, leśnictwo, łowiectwo i</w:t>
      </w:r>
      <w:r w:rsidR="00B70A8F">
        <w:t> </w:t>
      </w:r>
      <w:r>
        <w:t>rybactwo, jako przemysł i budownictwo swój rodzaj działalności deklarowało 20,1% (633) podmiotów, a 77,5% (2 435) podmiotów w rejestrze zakwalifikowana jest jako pozostała działalność.</w:t>
      </w:r>
    </w:p>
    <w:p w:rsidR="00162590" w:rsidRPr="00E457E6" w:rsidRDefault="00162590" w:rsidP="00162590">
      <w:pPr>
        <w:pStyle w:val="Styl2"/>
      </w:pPr>
      <w:bookmarkStart w:id="100" w:name="_Toc528140060"/>
      <w:bookmarkStart w:id="101" w:name="_Toc528749851"/>
      <w:bookmarkStart w:id="102" w:name="_Toc535233336"/>
      <w:r>
        <w:t>4.</w:t>
      </w:r>
      <w:r w:rsidRPr="00E457E6">
        <w:t>6 Układ komunikacji zbiorowej</w:t>
      </w:r>
      <w:bookmarkEnd w:id="100"/>
      <w:bookmarkEnd w:id="101"/>
      <w:bookmarkEnd w:id="102"/>
    </w:p>
    <w:p w:rsidR="00162590" w:rsidRPr="006548A4" w:rsidRDefault="00162590" w:rsidP="00AA7DC0">
      <w:pPr>
        <w:pStyle w:val="Akapitzlist"/>
        <w:numPr>
          <w:ilvl w:val="0"/>
          <w:numId w:val="16"/>
        </w:numPr>
        <w:rPr>
          <w:rFonts w:eastAsia="Times New Roman" w:cs="Times New Roman"/>
          <w:b/>
          <w:szCs w:val="24"/>
        </w:rPr>
      </w:pPr>
      <w:r w:rsidRPr="006548A4">
        <w:rPr>
          <w:rFonts w:eastAsia="Times New Roman" w:cs="Times New Roman"/>
          <w:b/>
          <w:szCs w:val="24"/>
        </w:rPr>
        <w:t>Układ kolejowy</w:t>
      </w:r>
    </w:p>
    <w:p w:rsidR="00162590" w:rsidRDefault="00162590" w:rsidP="00162590">
      <w:r>
        <w:t>Przez miasto Mława przechodzi 1 linia kolejowa wykorzystywana do ruchu pasażerskiego lub towarowego.</w:t>
      </w:r>
    </w:p>
    <w:p w:rsidR="00162590" w:rsidRDefault="00162590" w:rsidP="00162590">
      <w:r>
        <w:t>Jest to Linia kolejowa nr 9: Warszawa Wschodnia Osobowa - Gdańsk Główny [o znaczeniu państwowym].</w:t>
      </w:r>
    </w:p>
    <w:p w:rsidR="00C13FF9" w:rsidRDefault="00C13FF9" w:rsidP="00162590"/>
    <w:p w:rsidR="00A14A7A" w:rsidRPr="003230D4" w:rsidRDefault="00A14A7A" w:rsidP="00A14A7A">
      <w:pPr>
        <w:pStyle w:val="Styl2"/>
        <w:spacing w:line="360" w:lineRule="auto"/>
      </w:pPr>
      <w:bookmarkStart w:id="103" w:name="_Toc522193822"/>
      <w:bookmarkStart w:id="104" w:name="_Toc524375247"/>
      <w:bookmarkStart w:id="105" w:name="_Toc524936074"/>
      <w:bookmarkStart w:id="106" w:name="_Toc528140061"/>
      <w:bookmarkStart w:id="107" w:name="_Toc528749852"/>
      <w:bookmarkStart w:id="108" w:name="_Toc535233337"/>
      <w:r w:rsidRPr="000A4B5E">
        <w:t>4.7 Komunikacja samochodowa i układ drogowy</w:t>
      </w:r>
      <w:bookmarkEnd w:id="103"/>
      <w:bookmarkEnd w:id="104"/>
      <w:bookmarkEnd w:id="105"/>
      <w:bookmarkEnd w:id="106"/>
      <w:bookmarkEnd w:id="107"/>
      <w:bookmarkEnd w:id="108"/>
    </w:p>
    <w:p w:rsidR="00A14A7A" w:rsidRPr="006548A4" w:rsidRDefault="007B4D71" w:rsidP="00A14A7A">
      <w:pPr>
        <w:spacing w:before="120" w:after="120"/>
        <w:rPr>
          <w:rFonts w:eastAsia="Times New Roman" w:cs="Times New Roman"/>
          <w:szCs w:val="24"/>
        </w:rPr>
      </w:pPr>
      <w:r>
        <w:rPr>
          <w:rFonts w:eastAsia="Times New Roman" w:cs="Times New Roman"/>
          <w:szCs w:val="24"/>
        </w:rPr>
        <w:t>Przez</w:t>
      </w:r>
      <w:r w:rsidR="00A14A7A" w:rsidRPr="006548A4">
        <w:rPr>
          <w:rFonts w:eastAsia="Times New Roman" w:cs="Times New Roman"/>
          <w:szCs w:val="24"/>
        </w:rPr>
        <w:t xml:space="preserve"> teren </w:t>
      </w:r>
      <w:r>
        <w:rPr>
          <w:rFonts w:eastAsia="Times New Roman" w:cs="Times New Roman"/>
          <w:szCs w:val="24"/>
        </w:rPr>
        <w:t>M</w:t>
      </w:r>
      <w:r w:rsidR="00A14A7A" w:rsidRPr="006548A4">
        <w:rPr>
          <w:rFonts w:eastAsia="Times New Roman" w:cs="Times New Roman"/>
          <w:szCs w:val="24"/>
        </w:rPr>
        <w:t xml:space="preserve">iasta </w:t>
      </w:r>
      <w:r>
        <w:rPr>
          <w:rFonts w:eastAsia="Times New Roman" w:cs="Times New Roman"/>
          <w:szCs w:val="24"/>
        </w:rPr>
        <w:t>Mława, przechodzą następujące szlaki komunikacji liniowej:</w:t>
      </w:r>
    </w:p>
    <w:p w:rsidR="00A14A7A" w:rsidRPr="006548A4" w:rsidRDefault="00A14A7A" w:rsidP="00AA7DC0">
      <w:pPr>
        <w:pStyle w:val="Akapitzlist"/>
        <w:numPr>
          <w:ilvl w:val="0"/>
          <w:numId w:val="16"/>
        </w:numPr>
        <w:rPr>
          <w:rFonts w:eastAsia="Times New Roman" w:cs="Times New Roman"/>
          <w:b/>
          <w:color w:val="000000"/>
          <w:szCs w:val="24"/>
        </w:rPr>
      </w:pPr>
      <w:r w:rsidRPr="006548A4">
        <w:rPr>
          <w:rFonts w:eastAsia="Times New Roman" w:cs="Times New Roman"/>
          <w:b/>
          <w:szCs w:val="24"/>
        </w:rPr>
        <w:t>Drogi krajowe</w:t>
      </w:r>
    </w:p>
    <w:p w:rsidR="00A14A7A" w:rsidRDefault="00A14A7A" w:rsidP="00A14A7A">
      <w:r>
        <w:lastRenderedPageBreak/>
        <w:t>Przez miasto Mława przechodzą 4 drogi publiczne zaliczane do kategorii wojewódzkiej lub wyższej.</w:t>
      </w:r>
    </w:p>
    <w:p w:rsidR="00162590" w:rsidRPr="00A14A7A" w:rsidRDefault="00A14A7A" w:rsidP="00AA7DC0">
      <w:pPr>
        <w:pStyle w:val="Akapitzlist"/>
        <w:numPr>
          <w:ilvl w:val="0"/>
          <w:numId w:val="17"/>
        </w:numPr>
        <w:rPr>
          <w:shd w:val="clear" w:color="auto" w:fill="FFFFFF"/>
        </w:rPr>
      </w:pPr>
      <w:r w:rsidRPr="00A14A7A">
        <w:rPr>
          <w:shd w:val="clear" w:color="auto" w:fill="FFFFFF"/>
        </w:rPr>
        <w:t>droga krajowa nr 7</w:t>
      </w:r>
    </w:p>
    <w:p w:rsidR="00A14A7A" w:rsidRPr="00A14A7A" w:rsidRDefault="00A14A7A" w:rsidP="00AA7DC0">
      <w:pPr>
        <w:pStyle w:val="Akapitzlist"/>
        <w:numPr>
          <w:ilvl w:val="0"/>
          <w:numId w:val="17"/>
        </w:numPr>
        <w:rPr>
          <w:shd w:val="clear" w:color="auto" w:fill="FFFFFF"/>
        </w:rPr>
      </w:pPr>
      <w:r w:rsidRPr="00A14A7A">
        <w:rPr>
          <w:shd w:val="clear" w:color="auto" w:fill="FFFFFF"/>
        </w:rPr>
        <w:t>droga wojewódzka nr 544</w:t>
      </w:r>
    </w:p>
    <w:p w:rsidR="00A14A7A" w:rsidRPr="00A14A7A" w:rsidRDefault="00A14A7A" w:rsidP="00AA7DC0">
      <w:pPr>
        <w:pStyle w:val="Akapitzlist"/>
        <w:numPr>
          <w:ilvl w:val="0"/>
          <w:numId w:val="17"/>
        </w:numPr>
        <w:rPr>
          <w:shd w:val="clear" w:color="auto" w:fill="FFFFFF"/>
        </w:rPr>
      </w:pPr>
      <w:r w:rsidRPr="00A14A7A">
        <w:rPr>
          <w:shd w:val="clear" w:color="auto" w:fill="FFFFFF"/>
        </w:rPr>
        <w:t>droga wojewódzka nr 563</w:t>
      </w:r>
    </w:p>
    <w:p w:rsidR="00A14A7A" w:rsidRPr="006C0CBF" w:rsidRDefault="00A14A7A" w:rsidP="00AA7DC0">
      <w:pPr>
        <w:pStyle w:val="Akapitzlist"/>
        <w:numPr>
          <w:ilvl w:val="0"/>
          <w:numId w:val="17"/>
        </w:numPr>
        <w:rPr>
          <w:lang w:val="en-US"/>
        </w:rPr>
      </w:pPr>
      <w:r w:rsidRPr="00A14A7A">
        <w:rPr>
          <w:shd w:val="clear" w:color="auto" w:fill="FFFFFF"/>
        </w:rPr>
        <w:t>droga wojewódzka nr 615</w:t>
      </w:r>
    </w:p>
    <w:p w:rsidR="006C0CBF" w:rsidRPr="006C0CBF" w:rsidRDefault="006C0CBF" w:rsidP="006C0CBF">
      <w:r>
        <w:t>Źródłem zanieczyszczeń komunikacyjnych jest przede wszystkim eksploatacja dróg kołowych, w tym tranzytowych (krajowej nr 7, wojewódzkich nr 544 i 563) oraz pozostałej sieci dróg w</w:t>
      </w:r>
      <w:r w:rsidR="00B70A8F">
        <w:t> </w:t>
      </w:r>
      <w:r>
        <w:t>Mieście i linii kolejowej. Znaczny wpływ na stan aerosanitarny Miasta ma komunikacja samochodowa. Jej uciążliwość związana jest przede wszystkim z natężeniem ruchu pojazdów, ich charakterem (pojazdy osobowe, ciężarowe, autobusy) oraz z charakterem przejazdów. Źródłem szkodliwych substancji wprowadzanych do powietrza jest spalanie paliw w silnikach, wtórny unos pyłu w wyniku ruchu pojazdów oraz ścieranie sięokładzin hamulcowych, opon i</w:t>
      </w:r>
      <w:r w:rsidR="00B70A8F">
        <w:t> </w:t>
      </w:r>
      <w:r>
        <w:t>powierzchni jezdni w wyniku tarcia. Skład (węglowodory, tlenek węgla, pyły, związki ołowiu, tlenki azotu, tlenki siarki) oraz ilość emitowanych zanieczyszczeń zależą między innymi od stanu technicznego pojazdów, prędkości i płynności ruchu.</w:t>
      </w:r>
    </w:p>
    <w:p w:rsidR="00566A15" w:rsidRDefault="00A14A7A" w:rsidP="00A14A7A">
      <w:r>
        <w:t>Dla stanu powietrza atmosferycznego istotne znaczenie ma emisja tlenków i pyłów zawieszonych (porównaj podrozdział 5.2) oraz metali ciężkich przenoszonych na powierzchni cząstek (opisanych w podrozdziale 5.3). Duże znaczenie ma również tzw. emisja wtórna z</w:t>
      </w:r>
      <w:r w:rsidR="00B70A8F">
        <w:t> </w:t>
      </w:r>
      <w:r>
        <w:t>powierzchni dróg. która zależy w dużej mierze od warunków meteorologicznych. Komunikacja jest również źródłem emisji benzenu, benzo(a)pirenu oraz innych związków organicznych. Na</w:t>
      </w:r>
      <w:r w:rsidR="00B70A8F">
        <w:t> </w:t>
      </w:r>
      <w:r>
        <w:t>wielkość tych zanieczyszczeń wpływa stan techniczny samochodów, stopień zużycia substancji katalitycznych oraz jakość stosowanych paliw. Gwałtowny rozwój transportu, przejawiający się wzrostem ilości samochodów na drogach oraz aktualny stan infrastruktury dróg spowoduje, iż transport może być uciążliwy dla środowiska naturalnego.</w:t>
      </w:r>
    </w:p>
    <w:p w:rsidR="00C13FF9" w:rsidRPr="00566A15" w:rsidRDefault="00C13FF9" w:rsidP="00A14A7A"/>
    <w:p w:rsidR="00A930F4" w:rsidRDefault="00A930F4" w:rsidP="00566A15">
      <w:pPr>
        <w:pStyle w:val="Styl2"/>
      </w:pPr>
      <w:bookmarkStart w:id="109" w:name="_Toc535233338"/>
      <w:r>
        <w:t xml:space="preserve">4.8 </w:t>
      </w:r>
      <w:r w:rsidR="00566A15" w:rsidRPr="00566A15">
        <w:t>Charakter istniejącej infrastruktury mieszkaniowej</w:t>
      </w:r>
      <w:bookmarkEnd w:id="109"/>
    </w:p>
    <w:p w:rsidR="00A8579D" w:rsidRDefault="00A8579D" w:rsidP="00A8579D">
      <w:pPr>
        <w:spacing w:line="276" w:lineRule="auto"/>
      </w:pPr>
      <w:r>
        <w:t xml:space="preserve">Według danych statystycznych w 2017 roku zasoby mieszkaniowe w Mławie wynosiły </w:t>
      </w:r>
      <w:r w:rsidR="006E3689" w:rsidRPr="006E3689">
        <w:t>12348</w:t>
      </w:r>
    </w:p>
    <w:p w:rsidR="00A8579D" w:rsidRPr="00A14A7A" w:rsidRDefault="00A8579D" w:rsidP="00A8579D">
      <w:pPr>
        <w:spacing w:line="276" w:lineRule="auto"/>
      </w:pPr>
      <w:r>
        <w:t xml:space="preserve">sztuk przy łącznej powierzchni mieszkań </w:t>
      </w:r>
      <w:r w:rsidRPr="00A8579D">
        <w:t>864445</w:t>
      </w:r>
      <w:r>
        <w:t xml:space="preserve"> m</w:t>
      </w:r>
      <w:r w:rsidRPr="008D2033">
        <w:rPr>
          <w:vertAlign w:val="superscript"/>
        </w:rPr>
        <w:t>2</w:t>
      </w:r>
      <w:r>
        <w:t xml:space="preserve">. </w:t>
      </w:r>
    </w:p>
    <w:p w:rsidR="00A8579D" w:rsidRDefault="00A8579D" w:rsidP="00A8579D">
      <w:pPr>
        <w:pStyle w:val="Legenda"/>
        <w:keepNext/>
      </w:pPr>
      <w:bookmarkStart w:id="110" w:name="_Toc535583561"/>
      <w:r>
        <w:lastRenderedPageBreak/>
        <w:t xml:space="preserve">Tabela </w:t>
      </w:r>
      <w:r w:rsidR="00135E52">
        <w:rPr>
          <w:noProof/>
        </w:rPr>
        <w:fldChar w:fldCharType="begin"/>
      </w:r>
      <w:r w:rsidR="00BB2D25">
        <w:rPr>
          <w:noProof/>
        </w:rPr>
        <w:instrText xml:space="preserve"> SEQ Tabela \* ARABIC </w:instrText>
      </w:r>
      <w:r w:rsidR="00135E52">
        <w:rPr>
          <w:noProof/>
        </w:rPr>
        <w:fldChar w:fldCharType="separate"/>
      </w:r>
      <w:r w:rsidR="00AD136C">
        <w:rPr>
          <w:noProof/>
        </w:rPr>
        <w:t>2</w:t>
      </w:r>
      <w:r w:rsidR="00135E52">
        <w:rPr>
          <w:noProof/>
        </w:rPr>
        <w:fldChar w:fldCharType="end"/>
      </w:r>
      <w:r w:rsidRPr="002B3DE5">
        <w:t>Zasoby mieszkaniowe w latach 20</w:t>
      </w:r>
      <w:r>
        <w:t>10</w:t>
      </w:r>
      <w:r w:rsidRPr="002B3DE5">
        <w:t>-20</w:t>
      </w:r>
      <w:r>
        <w:t>17.</w:t>
      </w:r>
      <w:bookmarkEnd w:id="110"/>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0"/>
        <w:gridCol w:w="661"/>
        <w:gridCol w:w="661"/>
        <w:gridCol w:w="661"/>
        <w:gridCol w:w="661"/>
        <w:gridCol w:w="661"/>
        <w:gridCol w:w="661"/>
        <w:gridCol w:w="661"/>
        <w:gridCol w:w="661"/>
      </w:tblGrid>
      <w:tr w:rsidR="00A8579D" w:rsidRPr="004E4875" w:rsidTr="009F263B">
        <w:trPr>
          <w:cnfStyle w:val="100000000000"/>
          <w:trHeight w:val="290"/>
        </w:trPr>
        <w:tc>
          <w:tcPr>
            <w:cnfStyle w:val="001000000000"/>
            <w:tcW w:w="2128"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rPr>
                <w:rFonts w:asciiTheme="minorHAnsi" w:hAnsiTheme="minorHAnsi"/>
                <w:sz w:val="20"/>
                <w:szCs w:val="20"/>
              </w:rPr>
            </w:pP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2010</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2011</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2012</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2013</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2014</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2015</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2016</w:t>
            </w:r>
          </w:p>
        </w:tc>
        <w:tc>
          <w:tcPr>
            <w:tcW w:w="359" w:type="pct"/>
            <w:tcBorders>
              <w:top w:val="none" w:sz="0" w:space="0" w:color="auto"/>
              <w:left w:val="none" w:sz="0" w:space="0" w:color="auto"/>
              <w:bottom w:val="none" w:sz="0" w:space="0" w:color="auto"/>
              <w:right w:val="none" w:sz="0" w:space="0" w:color="auto"/>
            </w:tcBorders>
            <w:noWrap/>
            <w:vAlign w:val="center"/>
            <w:hideMark/>
          </w:tcPr>
          <w:p w:rsidR="004E4875" w:rsidRPr="004E4875" w:rsidRDefault="004E4875" w:rsidP="009F263B">
            <w:pPr>
              <w:jc w:val="center"/>
              <w:cnfStyle w:val="100000000000"/>
              <w:rPr>
                <w:rFonts w:asciiTheme="minorHAnsi" w:hAnsiTheme="minorHAnsi"/>
                <w:sz w:val="20"/>
                <w:szCs w:val="20"/>
              </w:rPr>
            </w:pPr>
            <w:r w:rsidRPr="004E4875">
              <w:rPr>
                <w:rFonts w:asciiTheme="minorHAnsi" w:hAnsiTheme="minorHAnsi"/>
                <w:sz w:val="20"/>
                <w:szCs w:val="20"/>
              </w:rPr>
              <w:t>2017</w:t>
            </w:r>
          </w:p>
        </w:tc>
      </w:tr>
      <w:tr w:rsidR="00A8579D" w:rsidRPr="004E4875" w:rsidTr="009F263B">
        <w:trPr>
          <w:cnfStyle w:val="000000100000"/>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Przeciętna powierzchnia użytkowa 1 mieszkania [m2]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70,3</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70,3</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70</w:t>
            </w:r>
          </w:p>
        </w:tc>
      </w:tr>
      <w:tr w:rsidR="00A8579D" w:rsidRPr="004E4875" w:rsidTr="009F263B">
        <w:trPr>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Przeciętnapowierzchnia użytkowa mieszkania na 1 osobę [m2]</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25,5</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25,9</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26,1</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26,7</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26,9</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27,2</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27,4</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27,7</w:t>
            </w:r>
          </w:p>
        </w:tc>
      </w:tr>
      <w:tr w:rsidR="00A8579D" w:rsidRPr="004E4875" w:rsidTr="009F263B">
        <w:trPr>
          <w:cnfStyle w:val="000000100000"/>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Mieszkania na 1000 mieszkańców</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363,2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368,3</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371,5</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380</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383,7</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388,1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391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395,2</w:t>
            </w:r>
          </w:p>
        </w:tc>
      </w:tr>
      <w:tr w:rsidR="00A8579D" w:rsidRPr="004E4875" w:rsidTr="009F263B">
        <w:trPr>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Przeciętna liczba izb w 1 mieszkaniu</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3,81</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3,8</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3,8</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3,79</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3,79</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3,77</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3,77</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3,76</w:t>
            </w:r>
          </w:p>
        </w:tc>
      </w:tr>
      <w:tr w:rsidR="00A8579D" w:rsidRPr="004E4875" w:rsidTr="009F263B">
        <w:trPr>
          <w:cnfStyle w:val="000000100000"/>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Przeciętna liczba osób na 1 mieszkanie</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2,75</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2,72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2,69</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2,63</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2,61</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2,58</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2,56</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2,53</w:t>
            </w:r>
          </w:p>
        </w:tc>
      </w:tr>
      <w:tr w:rsidR="00A8579D" w:rsidRPr="004E4875" w:rsidTr="009F263B">
        <w:trPr>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Liczba mieszkań</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11201</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11390</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11505</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11734</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11881</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12042</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12179</w:t>
            </w:r>
          </w:p>
        </w:tc>
        <w:tc>
          <w:tcPr>
            <w:tcW w:w="359" w:type="pct"/>
            <w:noWrap/>
            <w:vAlign w:val="center"/>
            <w:hideMark/>
          </w:tcPr>
          <w:p w:rsidR="004E4875" w:rsidRPr="004E4875" w:rsidRDefault="004E4875" w:rsidP="009F263B">
            <w:pPr>
              <w:jc w:val="center"/>
              <w:cnfStyle w:val="000000000000"/>
              <w:rPr>
                <w:rFonts w:asciiTheme="minorHAnsi" w:hAnsiTheme="minorHAnsi"/>
                <w:sz w:val="20"/>
                <w:szCs w:val="20"/>
              </w:rPr>
            </w:pPr>
            <w:r w:rsidRPr="004E4875">
              <w:rPr>
                <w:rFonts w:asciiTheme="minorHAnsi" w:hAnsiTheme="minorHAnsi"/>
                <w:sz w:val="20"/>
                <w:szCs w:val="20"/>
              </w:rPr>
              <w:t>12348</w:t>
            </w:r>
          </w:p>
        </w:tc>
      </w:tr>
      <w:tr w:rsidR="00A8579D" w:rsidRPr="004E4875" w:rsidTr="009F263B">
        <w:trPr>
          <w:cnfStyle w:val="000000100000"/>
          <w:trHeight w:val="290"/>
        </w:trPr>
        <w:tc>
          <w:tcPr>
            <w:cnfStyle w:val="001000000000"/>
            <w:tcW w:w="2128" w:type="pct"/>
            <w:noWrap/>
            <w:vAlign w:val="center"/>
            <w:hideMark/>
          </w:tcPr>
          <w:p w:rsidR="004E4875" w:rsidRPr="004E4875" w:rsidRDefault="004E4875" w:rsidP="009F263B">
            <w:pPr>
              <w:jc w:val="center"/>
              <w:rPr>
                <w:rFonts w:asciiTheme="minorHAnsi" w:hAnsiTheme="minorHAnsi"/>
                <w:sz w:val="20"/>
                <w:szCs w:val="20"/>
              </w:rPr>
            </w:pPr>
            <w:r w:rsidRPr="004E4875">
              <w:rPr>
                <w:rFonts w:asciiTheme="minorHAnsi" w:hAnsiTheme="minorHAnsi"/>
                <w:sz w:val="20"/>
                <w:szCs w:val="20"/>
              </w:rPr>
              <w:t>Powierzchnia użytkowa mieszkań [m2]</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786299</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800389</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809317</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823135</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833704</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844178</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854070</w:t>
            </w:r>
          </w:p>
        </w:tc>
        <w:tc>
          <w:tcPr>
            <w:tcW w:w="359" w:type="pct"/>
            <w:noWrap/>
            <w:vAlign w:val="center"/>
            <w:hideMark/>
          </w:tcPr>
          <w:p w:rsidR="004E4875" w:rsidRPr="004E4875" w:rsidRDefault="004E4875" w:rsidP="009F263B">
            <w:pPr>
              <w:jc w:val="center"/>
              <w:cnfStyle w:val="000000100000"/>
              <w:rPr>
                <w:rFonts w:asciiTheme="minorHAnsi" w:hAnsiTheme="minorHAnsi"/>
                <w:sz w:val="20"/>
                <w:szCs w:val="20"/>
              </w:rPr>
            </w:pPr>
            <w:r w:rsidRPr="004E4875">
              <w:rPr>
                <w:rFonts w:asciiTheme="minorHAnsi" w:hAnsiTheme="minorHAnsi"/>
                <w:sz w:val="20"/>
                <w:szCs w:val="20"/>
              </w:rPr>
              <w:t>864445</w:t>
            </w:r>
          </w:p>
        </w:tc>
      </w:tr>
    </w:tbl>
    <w:p w:rsidR="00A14A7A" w:rsidRDefault="00A8579D" w:rsidP="006270DE">
      <w:pPr>
        <w:spacing w:line="276" w:lineRule="auto"/>
      </w:pPr>
      <w:r>
        <w:t xml:space="preserve">Wartość średniej powierzchni mieszkań oraz średniej powierzchni przypadającej na jednegomieszkańca </w:t>
      </w:r>
      <w:r w:rsidR="006270DE">
        <w:t xml:space="preserve">od 2010 utrzymuje się na podobnym poziomie. </w:t>
      </w:r>
    </w:p>
    <w:p w:rsidR="006270DE" w:rsidRDefault="006270DE" w:rsidP="006270DE">
      <w:r>
        <w:t xml:space="preserve">Stan zasobów mieszkaniowych Miasta Mława ilustrują również zmiany w liczbie mieszkań, ich powierzchni oraz liczby izb. Odnośnie ogólnej liczby mieszkań w analizowanym okresie (2010-2017) stwierdzić można tendencję wzrostową. </w:t>
      </w:r>
    </w:p>
    <w:p w:rsidR="00FF2359" w:rsidRPr="00E457E6" w:rsidRDefault="00FF2359" w:rsidP="00FF2359">
      <w:pPr>
        <w:pStyle w:val="Styl1"/>
        <w:spacing w:line="360" w:lineRule="auto"/>
      </w:pPr>
      <w:bookmarkStart w:id="111" w:name="_Toc528140062"/>
      <w:bookmarkStart w:id="112" w:name="_Toc528749853"/>
      <w:bookmarkStart w:id="113" w:name="_Toc535233339"/>
      <w:r w:rsidRPr="00E457E6">
        <w:rPr>
          <w:caps w:val="0"/>
        </w:rPr>
        <w:t>5. STAN POWIETRZA ATMOSFERYCZNEGO</w:t>
      </w:r>
      <w:bookmarkEnd w:id="111"/>
      <w:bookmarkEnd w:id="112"/>
      <w:bookmarkEnd w:id="113"/>
    </w:p>
    <w:p w:rsidR="00FF2359" w:rsidRDefault="00FF2359" w:rsidP="00FF2359">
      <w:r>
        <w:t>Głównymi źródłami emisji zanieczyszczeń do powietrza na terenie Miasta Mławy są zakłady przemysłowe, transport, kotłownie lokalne oraz paleniska indywidualne. W strukturze emisji zanieczyszczeń wyróżnia się: a) zanieczyszczenia gazowe takie jak: SO</w:t>
      </w:r>
      <w:r w:rsidRPr="00B67B00">
        <w:rPr>
          <w:vertAlign w:val="subscript"/>
        </w:rPr>
        <w:t>2</w:t>
      </w:r>
      <w:r>
        <w:t>, NO</w:t>
      </w:r>
      <w:r w:rsidRPr="00B67B00">
        <w:rPr>
          <w:vertAlign w:val="subscript"/>
        </w:rPr>
        <w:t>2</w:t>
      </w:r>
      <w:r>
        <w:t>, CO, CO</w:t>
      </w:r>
      <w:r w:rsidRPr="00B67B00">
        <w:rPr>
          <w:vertAlign w:val="subscript"/>
        </w:rPr>
        <w:t>2</w:t>
      </w:r>
      <w:r>
        <w:t>, b) zanieczyszczenia pyłowe pochodzące z procesów energetycznych (pyły ze spalania paliw) oraz z procesów technologicznych. Ocena jakości powietrza w województwie mazowieckim w tym również dla Mławy i całej strefy mazowieckiej dokonywana jest przez Wojewódzki Inspektorat Ochrony Środowiska w Warszawie w ramach monitoringu powietrza prowadzonego na obszarach priorytetowych tj. w centrach miast i miejscowościach uzdrowiskowych. Wyniki prowadzonych badań przedstawiane są w rocznych raportach. Oceny jakości powietrza na terenie M</w:t>
      </w:r>
      <w:r w:rsidR="008329EC">
        <w:t>ławy</w:t>
      </w:r>
      <w:r>
        <w:t xml:space="preserve"> dokonywano w oparciu o materiały Wojewódzkiego Inspektoratu Ochrony Środowiska w Warszawie zawarte w opracowaniu pn. „Roczna ocena jakości powietrza </w:t>
      </w:r>
      <w:r>
        <w:lastRenderedPageBreak/>
        <w:t>w</w:t>
      </w:r>
      <w:r w:rsidR="00B70A8F">
        <w:t> </w:t>
      </w:r>
      <w:r>
        <w:t>województwie mazowieckim - Raport za rok 2017”oraz</w:t>
      </w:r>
      <w:r w:rsidR="00D12CD3">
        <w:t xml:space="preserve"> metoda mapowania matematycznego.</w:t>
      </w:r>
    </w:p>
    <w:p w:rsidR="00FF2359" w:rsidRPr="00E457E6" w:rsidRDefault="00FF2359" w:rsidP="00FF2359">
      <w:pPr>
        <w:pStyle w:val="Styl2"/>
      </w:pPr>
      <w:bookmarkStart w:id="114" w:name="_Toc528140063"/>
      <w:bookmarkStart w:id="115" w:name="_Toc528749854"/>
      <w:bookmarkStart w:id="116" w:name="_Toc535233340"/>
      <w:r w:rsidRPr="00E457E6">
        <w:t>5.1 Monitorowanie stanu jakości powietrza</w:t>
      </w:r>
      <w:bookmarkEnd w:id="114"/>
      <w:bookmarkEnd w:id="115"/>
      <w:bookmarkEnd w:id="116"/>
    </w:p>
    <w:p w:rsidR="00FF2359" w:rsidRPr="00C0685C" w:rsidRDefault="00FF2359" w:rsidP="00FF2359">
      <w:pPr>
        <w:rPr>
          <w:rFonts w:cs="Calibri Light"/>
          <w:color w:val="000000" w:themeColor="text1"/>
        </w:rPr>
      </w:pPr>
      <w:r w:rsidRPr="00553C97">
        <w:t xml:space="preserve">Na terenie województwa </w:t>
      </w:r>
      <w:r>
        <w:t>mazowieckiego z</w:t>
      </w:r>
      <w:r w:rsidRPr="00553C97">
        <w:t>osta</w:t>
      </w:r>
      <w:r>
        <w:t>ły wydzielone 4 strefy ochrony powietrza:</w:t>
      </w:r>
    </w:p>
    <w:p w:rsidR="00FF2359" w:rsidRPr="00553C97" w:rsidRDefault="00FF2359" w:rsidP="00AA7DC0">
      <w:pPr>
        <w:pStyle w:val="Akapitzlist"/>
        <w:numPr>
          <w:ilvl w:val="0"/>
          <w:numId w:val="23"/>
        </w:numPr>
        <w:spacing w:before="0" w:after="160"/>
      </w:pPr>
      <w:r w:rsidRPr="00553C97">
        <w:t xml:space="preserve">aglomeracja </w:t>
      </w:r>
      <w:r>
        <w:t>warszawska</w:t>
      </w:r>
      <w:r w:rsidRPr="00553C97">
        <w:t>,</w:t>
      </w:r>
    </w:p>
    <w:p w:rsidR="00FF2359" w:rsidRPr="00553C97" w:rsidRDefault="00FF2359" w:rsidP="00AA7DC0">
      <w:pPr>
        <w:pStyle w:val="Akapitzlist"/>
        <w:numPr>
          <w:ilvl w:val="0"/>
          <w:numId w:val="23"/>
        </w:numPr>
        <w:spacing w:before="0" w:after="160"/>
      </w:pPr>
      <w:r>
        <w:t>miasto Płock</w:t>
      </w:r>
      <w:r w:rsidRPr="00553C97">
        <w:t>,</w:t>
      </w:r>
    </w:p>
    <w:p w:rsidR="00FF2359" w:rsidRPr="00553C97" w:rsidRDefault="00FF2359" w:rsidP="00AA7DC0">
      <w:pPr>
        <w:pStyle w:val="Akapitzlist"/>
        <w:numPr>
          <w:ilvl w:val="0"/>
          <w:numId w:val="23"/>
        </w:numPr>
        <w:spacing w:before="0" w:after="160"/>
      </w:pPr>
      <w:r>
        <w:t>miasto Radom,</w:t>
      </w:r>
    </w:p>
    <w:p w:rsidR="00FF2359" w:rsidRPr="007F6849" w:rsidRDefault="00FF2359" w:rsidP="00AA7DC0">
      <w:pPr>
        <w:pStyle w:val="Akapitzlist"/>
        <w:numPr>
          <w:ilvl w:val="0"/>
          <w:numId w:val="23"/>
        </w:numPr>
        <w:spacing w:before="0" w:after="160"/>
      </w:pPr>
      <w:r>
        <w:t>strefa mazowiecka.</w:t>
      </w:r>
    </w:p>
    <w:p w:rsidR="00FF2359" w:rsidRDefault="00FF2359" w:rsidP="00FF2359">
      <w:r w:rsidRPr="008319A4">
        <w:t>Klasyfikacjistrefdokonujesięoddzielniedladwóchgrupkryteriów:</w:t>
      </w:r>
    </w:p>
    <w:p w:rsidR="00FF2359" w:rsidRPr="002378C1" w:rsidRDefault="00FF2359" w:rsidP="00AA7DC0">
      <w:pPr>
        <w:pStyle w:val="Akapitzlist"/>
        <w:numPr>
          <w:ilvl w:val="0"/>
          <w:numId w:val="25"/>
        </w:numPr>
        <w:spacing w:before="0" w:after="160"/>
      </w:pPr>
      <w:r w:rsidRPr="002378C1">
        <w:t>ustanowionychwceluochronyzdrowialudzi:klasyfikowanesąwszystkiestrefy</w:t>
      </w:r>
      <w:r>
        <w:t xml:space="preserve">; </w:t>
      </w:r>
    </w:p>
    <w:p w:rsidR="00FF2359" w:rsidRPr="002378C1" w:rsidRDefault="00FF2359" w:rsidP="00AA7DC0">
      <w:pPr>
        <w:pStyle w:val="Akapitzlist"/>
        <w:numPr>
          <w:ilvl w:val="0"/>
          <w:numId w:val="25"/>
        </w:numPr>
        <w:spacing w:before="0" w:after="160"/>
      </w:pPr>
      <w:r w:rsidRPr="002378C1">
        <w:t>ustanowionychwceluochronyroślin:zklasyfikacjiwyłączonesąstrefy-aglomeracjepowyżej250tys.mieszkańcóworazstrefy-miastapowyżej100tys.mieszkańców.</w:t>
      </w:r>
    </w:p>
    <w:p w:rsidR="00FF2359" w:rsidRPr="00EF3E7D" w:rsidRDefault="00FF2359" w:rsidP="00FF2359">
      <w:r w:rsidRPr="00EF3E7D">
        <w:t>Do zanieczyszczeń, które uwzględniono w ocenie należały ze względu naochronę:</w:t>
      </w:r>
    </w:p>
    <w:p w:rsidR="00FF2359" w:rsidRPr="00EF3E7D" w:rsidRDefault="00FF2359" w:rsidP="00AA7DC0">
      <w:pPr>
        <w:pStyle w:val="Akapitzlist"/>
        <w:numPr>
          <w:ilvl w:val="0"/>
          <w:numId w:val="24"/>
        </w:numPr>
        <w:spacing w:before="0" w:after="160"/>
      </w:pPr>
      <w:r w:rsidRPr="00EF3E7D">
        <w:t>zdrowia: benzen, dwutlenek azotu, dwutlenek siarki, tlenek węgla, ozon, pył zawieszony PM10, pył zawieszony PM2,5, arsen, benzo(a)piren, ołów, kadm oraz nikiel;</w:t>
      </w:r>
    </w:p>
    <w:p w:rsidR="00FF2359" w:rsidRPr="00EF3E7D" w:rsidRDefault="00FF2359" w:rsidP="00AA7DC0">
      <w:pPr>
        <w:pStyle w:val="Akapitzlist"/>
        <w:numPr>
          <w:ilvl w:val="0"/>
          <w:numId w:val="24"/>
        </w:numPr>
        <w:spacing w:before="0" w:after="160"/>
      </w:pPr>
      <w:r w:rsidRPr="00EF3E7D">
        <w:t>roślin: dwutlenek siarki, tlenki azotu oraz ozon.</w:t>
      </w:r>
    </w:p>
    <w:p w:rsidR="00FF2359" w:rsidRPr="003D461B" w:rsidRDefault="00FF2359" w:rsidP="00FF2359">
      <w:pPr>
        <w:rPr>
          <w:rFonts w:cs="Calibri Light"/>
        </w:rPr>
      </w:pPr>
      <w:r w:rsidRPr="003D461B">
        <w:rPr>
          <w:rFonts w:cs="Calibri Light"/>
        </w:rPr>
        <w:t>W wyniku klasyfikacji, w zależności od analizy stężeń w danej strefie można wydzielić następujące klasy stref:</w:t>
      </w:r>
    </w:p>
    <w:p w:rsidR="00FF2359" w:rsidRPr="003D461B" w:rsidRDefault="00FF2359" w:rsidP="00AA7DC0">
      <w:pPr>
        <w:pStyle w:val="Akapitzlist"/>
        <w:numPr>
          <w:ilvl w:val="0"/>
          <w:numId w:val="26"/>
        </w:numPr>
        <w:rPr>
          <w:rFonts w:cs="Calibri Light"/>
        </w:rPr>
      </w:pPr>
      <w:r w:rsidRPr="003D461B">
        <w:rPr>
          <w:rFonts w:cs="Calibri Light"/>
          <w:b/>
        </w:rPr>
        <w:t>klasa A</w:t>
      </w:r>
      <w:r w:rsidRPr="003D461B">
        <w:rPr>
          <w:rFonts w:cs="Calibri Light"/>
        </w:rPr>
        <w:t xml:space="preserve"> – stężenia zanieczyszczeń na terenie strefy nie przekraczają poziomów dopuszczalnych </w:t>
      </w:r>
      <w:r w:rsidRPr="003D461B">
        <w:rPr>
          <w:rFonts w:cs="Calibri Light"/>
        </w:rPr>
        <w:br/>
        <w:t>i poziomów docelowych,</w:t>
      </w:r>
    </w:p>
    <w:p w:rsidR="00FF2359" w:rsidRPr="003D461B" w:rsidRDefault="00FF2359" w:rsidP="00AA7DC0">
      <w:pPr>
        <w:pStyle w:val="Akapitzlist"/>
        <w:numPr>
          <w:ilvl w:val="0"/>
          <w:numId w:val="26"/>
        </w:numPr>
        <w:rPr>
          <w:rFonts w:cs="Calibri Light"/>
        </w:rPr>
      </w:pPr>
      <w:r w:rsidRPr="003D461B">
        <w:rPr>
          <w:rFonts w:cs="Calibri Light"/>
          <w:b/>
        </w:rPr>
        <w:t>klasa B</w:t>
      </w:r>
      <w:r w:rsidRPr="003D461B">
        <w:rPr>
          <w:rFonts w:cs="Calibri Light"/>
        </w:rPr>
        <w:t xml:space="preserve"> – stężenia zanieczyszczeń na terenie strefy przekraczają poziomy dopuszczalne, lecz nie przekraczają poziomów dopuszczalnych powiększonych o margines tolerancji,</w:t>
      </w:r>
    </w:p>
    <w:p w:rsidR="00FF2359" w:rsidRPr="003D461B" w:rsidRDefault="00FF2359" w:rsidP="00AA7DC0">
      <w:pPr>
        <w:pStyle w:val="Akapitzlist"/>
        <w:numPr>
          <w:ilvl w:val="0"/>
          <w:numId w:val="26"/>
        </w:numPr>
        <w:rPr>
          <w:rFonts w:cs="Calibri Light"/>
        </w:rPr>
      </w:pPr>
      <w:r w:rsidRPr="003D461B">
        <w:rPr>
          <w:rFonts w:cs="Calibri Light"/>
          <w:b/>
        </w:rPr>
        <w:lastRenderedPageBreak/>
        <w:t>klasa C</w:t>
      </w:r>
      <w:r w:rsidRPr="003D461B">
        <w:rPr>
          <w:rFonts w:cs="Calibri Light"/>
        </w:rPr>
        <w:t xml:space="preserve"> – stężenia zanieczyszczeń na terenie strefy przekraczają poziomy dopuszczalne powiększone o margines tolerancji, w przypadku, gdy margines tolerancji nie jest określony – poziomy dopuszczalne i poziomy docelowe, </w:t>
      </w:r>
    </w:p>
    <w:p w:rsidR="00FF2359" w:rsidRPr="003D461B" w:rsidRDefault="00FF2359" w:rsidP="00AA7DC0">
      <w:pPr>
        <w:pStyle w:val="Akapitzlist"/>
        <w:numPr>
          <w:ilvl w:val="0"/>
          <w:numId w:val="26"/>
        </w:numPr>
        <w:rPr>
          <w:rFonts w:cs="Calibri Light"/>
        </w:rPr>
      </w:pPr>
      <w:r w:rsidRPr="003D461B">
        <w:rPr>
          <w:rFonts w:cs="Calibri Light"/>
        </w:rPr>
        <w:t>oraz dla ozonu:</w:t>
      </w:r>
    </w:p>
    <w:p w:rsidR="00FF2359" w:rsidRPr="003D461B" w:rsidRDefault="00FF2359" w:rsidP="00AA7DC0">
      <w:pPr>
        <w:pStyle w:val="Akapitzlist"/>
        <w:numPr>
          <w:ilvl w:val="0"/>
          <w:numId w:val="19"/>
        </w:numPr>
        <w:spacing w:before="0" w:after="160"/>
        <w:rPr>
          <w:rFonts w:cs="Calibri Light"/>
        </w:rPr>
      </w:pPr>
      <w:r w:rsidRPr="003D461B">
        <w:rPr>
          <w:rFonts w:cs="Calibri Light"/>
          <w:b/>
        </w:rPr>
        <w:t>klasa D1</w:t>
      </w:r>
      <w:r w:rsidRPr="003D461B">
        <w:rPr>
          <w:rFonts w:cs="Calibri Light"/>
        </w:rPr>
        <w:t xml:space="preserve"> – stężenia ozonu nie przekraczają poziomu celu długoterminowego,</w:t>
      </w:r>
    </w:p>
    <w:p w:rsidR="00FF2359" w:rsidRPr="003D461B" w:rsidRDefault="00FF2359" w:rsidP="00AA7DC0">
      <w:pPr>
        <w:pStyle w:val="Akapitzlist"/>
        <w:numPr>
          <w:ilvl w:val="0"/>
          <w:numId w:val="19"/>
        </w:numPr>
        <w:spacing w:before="0" w:after="160"/>
        <w:rPr>
          <w:rFonts w:cs="Calibri Light"/>
        </w:rPr>
      </w:pPr>
      <w:r w:rsidRPr="003D461B">
        <w:rPr>
          <w:rFonts w:cs="Calibri Light"/>
          <w:b/>
        </w:rPr>
        <w:t>klasa D2</w:t>
      </w:r>
      <w:r w:rsidRPr="003D461B">
        <w:rPr>
          <w:rFonts w:cs="Calibri Light"/>
        </w:rPr>
        <w:t xml:space="preserve"> – stężenia ozonu przekraczają poziom celu długoterminowego.</w:t>
      </w:r>
    </w:p>
    <w:p w:rsidR="00FF2359" w:rsidRPr="003D461B" w:rsidRDefault="00FF2359" w:rsidP="00FF2359">
      <w:pPr>
        <w:rPr>
          <w:rFonts w:cs="Calibri Light"/>
        </w:rPr>
      </w:pPr>
      <w:r w:rsidRPr="003D461B">
        <w:rPr>
          <w:rFonts w:cs="Calibri Light"/>
        </w:rPr>
        <w:t>Wynik oceny</w:t>
      </w:r>
      <w:r w:rsidR="00B05DFE">
        <w:rPr>
          <w:rFonts w:cs="Calibri Light"/>
        </w:rPr>
        <w:t xml:space="preserve"> jakości powietrza dla</w:t>
      </w:r>
      <w:r w:rsidRPr="003D461B">
        <w:rPr>
          <w:rFonts w:cs="Calibri Light"/>
        </w:rPr>
        <w:t xml:space="preserve"> strefy mazowieckiej wskazuje, że w roku 2017 przekroczone zostały poziomy dopuszczalne lub poziomy docelowe substancji w powietrzu (klasa A) ustanowione ze względu na:</w:t>
      </w:r>
    </w:p>
    <w:p w:rsidR="00FF2359" w:rsidRPr="00B81A43" w:rsidRDefault="00FF2359" w:rsidP="00AA7DC0">
      <w:pPr>
        <w:pStyle w:val="Akapitzlist"/>
        <w:numPr>
          <w:ilvl w:val="0"/>
          <w:numId w:val="21"/>
        </w:numPr>
        <w:rPr>
          <w:rFonts w:cs="Calibri Light"/>
        </w:rPr>
      </w:pPr>
      <w:r w:rsidRPr="00B81A43">
        <w:rPr>
          <w:rFonts w:cs="Calibri Light"/>
        </w:rPr>
        <w:t>ochronę zdrowia dla następujących zanieczyszczeń:</w:t>
      </w:r>
    </w:p>
    <w:p w:rsidR="00FF2359" w:rsidRPr="00B81A43" w:rsidRDefault="00FF2359" w:rsidP="00AA7DC0">
      <w:pPr>
        <w:pStyle w:val="Akapitzlist"/>
        <w:numPr>
          <w:ilvl w:val="0"/>
          <w:numId w:val="20"/>
        </w:numPr>
        <w:rPr>
          <w:rFonts w:cs="Calibri Light"/>
        </w:rPr>
      </w:pPr>
      <w:r w:rsidRPr="00B81A43">
        <w:rPr>
          <w:rFonts w:cs="Calibri Light"/>
        </w:rPr>
        <w:t>pyłu PM10,</w:t>
      </w:r>
    </w:p>
    <w:p w:rsidR="00FF2359" w:rsidRPr="00B81A43" w:rsidRDefault="00FF2359" w:rsidP="00AA7DC0">
      <w:pPr>
        <w:pStyle w:val="Akapitzlist"/>
        <w:numPr>
          <w:ilvl w:val="0"/>
          <w:numId w:val="20"/>
        </w:numPr>
        <w:rPr>
          <w:rFonts w:cs="Calibri Light"/>
        </w:rPr>
      </w:pPr>
      <w:r w:rsidRPr="00B81A43">
        <w:rPr>
          <w:rFonts w:cs="Calibri Light"/>
        </w:rPr>
        <w:t>pyłu PM 2,5,</w:t>
      </w:r>
    </w:p>
    <w:p w:rsidR="00FF2359" w:rsidRPr="00B81A43" w:rsidRDefault="00FF2359" w:rsidP="00AA7DC0">
      <w:pPr>
        <w:pStyle w:val="Akapitzlist"/>
        <w:numPr>
          <w:ilvl w:val="0"/>
          <w:numId w:val="20"/>
        </w:numPr>
        <w:rPr>
          <w:rFonts w:cs="Calibri Light"/>
        </w:rPr>
      </w:pPr>
      <w:r w:rsidRPr="00B81A43">
        <w:rPr>
          <w:rFonts w:cs="Calibri Light"/>
        </w:rPr>
        <w:t>ozonu,</w:t>
      </w:r>
    </w:p>
    <w:p w:rsidR="00FF2359" w:rsidRPr="00B81A43" w:rsidRDefault="00FF2359" w:rsidP="00AA7DC0">
      <w:pPr>
        <w:pStyle w:val="Akapitzlist"/>
        <w:numPr>
          <w:ilvl w:val="0"/>
          <w:numId w:val="20"/>
        </w:numPr>
        <w:rPr>
          <w:rFonts w:cs="Calibri Light"/>
        </w:rPr>
      </w:pPr>
      <w:r w:rsidRPr="00B81A43">
        <w:rPr>
          <w:rFonts w:cs="Calibri Light"/>
        </w:rPr>
        <w:t>benzo(a)pirenu;</w:t>
      </w:r>
    </w:p>
    <w:p w:rsidR="00FF2359" w:rsidRDefault="00FF2359" w:rsidP="00AA7DC0">
      <w:pPr>
        <w:pStyle w:val="Akapitzlist"/>
        <w:numPr>
          <w:ilvl w:val="0"/>
          <w:numId w:val="21"/>
        </w:numPr>
        <w:rPr>
          <w:rFonts w:cs="Calibri Light"/>
        </w:rPr>
      </w:pPr>
      <w:r w:rsidRPr="00B81A43">
        <w:rPr>
          <w:rFonts w:cs="Calibri Light"/>
        </w:rPr>
        <w:t>ochronę roślin dla następujących zanieczyszczeń:</w:t>
      </w:r>
    </w:p>
    <w:p w:rsidR="00FF2359" w:rsidRPr="009B3FC3" w:rsidRDefault="00FF2359" w:rsidP="00AA7DC0">
      <w:pPr>
        <w:pStyle w:val="Akapitzlist"/>
        <w:numPr>
          <w:ilvl w:val="0"/>
          <w:numId w:val="22"/>
        </w:numPr>
        <w:rPr>
          <w:rFonts w:cs="Calibri Light"/>
        </w:rPr>
      </w:pPr>
      <w:r>
        <w:rPr>
          <w:rFonts w:cs="Calibri Light"/>
        </w:rPr>
        <w:t>ozonu.</w:t>
      </w:r>
      <w:bookmarkStart w:id="117" w:name="_Toc506286970"/>
      <w:bookmarkStart w:id="118" w:name="_Toc524374976"/>
      <w:bookmarkStart w:id="119" w:name="_Toc524936104"/>
    </w:p>
    <w:p w:rsidR="00FF2359" w:rsidRPr="00A62739" w:rsidRDefault="00FF2359" w:rsidP="00FF2359">
      <w:pPr>
        <w:pStyle w:val="Legenda"/>
      </w:pPr>
      <w:bookmarkStart w:id="120" w:name="_Toc528140009"/>
      <w:bookmarkStart w:id="121" w:name="_Toc530138932"/>
      <w:bookmarkStart w:id="122" w:name="_Toc535583562"/>
      <w:r w:rsidRPr="00A62739">
        <w:t xml:space="preserve">Tabela </w:t>
      </w:r>
      <w:r w:rsidR="00135E52">
        <w:rPr>
          <w:noProof/>
        </w:rPr>
        <w:fldChar w:fldCharType="begin"/>
      </w:r>
      <w:r>
        <w:rPr>
          <w:noProof/>
        </w:rPr>
        <w:instrText xml:space="preserve"> SEQ Tabela \* ARABIC </w:instrText>
      </w:r>
      <w:r w:rsidR="00135E52">
        <w:rPr>
          <w:noProof/>
        </w:rPr>
        <w:fldChar w:fldCharType="separate"/>
      </w:r>
      <w:r w:rsidR="00AD136C">
        <w:rPr>
          <w:noProof/>
        </w:rPr>
        <w:t>3</w:t>
      </w:r>
      <w:r w:rsidR="00135E52">
        <w:rPr>
          <w:noProof/>
        </w:rPr>
        <w:fldChar w:fldCharType="end"/>
      </w:r>
      <w:r w:rsidRPr="00A62739">
        <w:t>. Klasy stref dla poszczególnych zanieczyszczeń, uzyskane w ocenie rocznej dokonanej z uwzględnieniem kryteriów ustanowionych pod kątem ochrony zdrowia w 2017 r.</w:t>
      </w:r>
      <w:bookmarkEnd w:id="117"/>
      <w:bookmarkEnd w:id="118"/>
      <w:bookmarkEnd w:id="119"/>
      <w:bookmarkEnd w:id="120"/>
      <w:bookmarkEnd w:id="121"/>
      <w:bookmarkEnd w:id="122"/>
    </w:p>
    <w:tbl>
      <w:tblPr>
        <w:tblStyle w:val="Tabelasiatki1jasnaakcent51"/>
        <w:tblW w:w="5000" w:type="pct"/>
        <w:jc w:val="center"/>
        <w:tblLook w:val="04A0"/>
      </w:tblPr>
      <w:tblGrid>
        <w:gridCol w:w="2056"/>
        <w:gridCol w:w="568"/>
        <w:gridCol w:w="607"/>
        <w:gridCol w:w="511"/>
        <w:gridCol w:w="652"/>
        <w:gridCol w:w="711"/>
        <w:gridCol w:w="776"/>
        <w:gridCol w:w="474"/>
        <w:gridCol w:w="459"/>
        <w:gridCol w:w="481"/>
        <w:gridCol w:w="438"/>
        <w:gridCol w:w="721"/>
        <w:gridCol w:w="834"/>
      </w:tblGrid>
      <w:tr w:rsidR="00FF2359" w:rsidRPr="008B3FDF" w:rsidTr="003E6159">
        <w:trPr>
          <w:cnfStyle w:val="100000000000"/>
          <w:trHeight w:val="555"/>
          <w:jc w:val="center"/>
        </w:trPr>
        <w:tc>
          <w:tcPr>
            <w:cnfStyle w:val="001000000000"/>
            <w:tcW w:w="1106" w:type="pct"/>
            <w:vMerge w:val="restart"/>
            <w:noWrap/>
            <w:vAlign w:val="center"/>
            <w:hideMark/>
          </w:tcPr>
          <w:p w:rsidR="00FF2359" w:rsidRPr="008B3FDF" w:rsidRDefault="00FF2359" w:rsidP="003E6159">
            <w:pPr>
              <w:spacing w:line="240" w:lineRule="auto"/>
              <w:jc w:val="center"/>
              <w:rPr>
                <w:color w:val="000000"/>
              </w:rPr>
            </w:pPr>
            <w:r w:rsidRPr="008B3FDF">
              <w:rPr>
                <w:color w:val="000000"/>
              </w:rPr>
              <w:t>Nazwastrefy</w:t>
            </w:r>
          </w:p>
        </w:tc>
        <w:tc>
          <w:tcPr>
            <w:tcW w:w="3894" w:type="pct"/>
            <w:gridSpan w:val="12"/>
            <w:noWrap/>
            <w:vAlign w:val="center"/>
            <w:hideMark/>
          </w:tcPr>
          <w:p w:rsidR="00FF2359" w:rsidRPr="008B3FDF" w:rsidRDefault="00FF2359" w:rsidP="003E6159">
            <w:pPr>
              <w:spacing w:line="240" w:lineRule="auto"/>
              <w:jc w:val="center"/>
              <w:cnfStyle w:val="100000000000"/>
              <w:rPr>
                <w:color w:val="000000"/>
              </w:rPr>
            </w:pPr>
            <w:r w:rsidRPr="008B3FDF">
              <w:rPr>
                <w:color w:val="000000"/>
              </w:rPr>
              <w:t>Symbolklasy</w:t>
            </w:r>
            <w:r>
              <w:rPr>
                <w:color w:val="000000"/>
              </w:rPr>
              <w:t xml:space="preserve"> dla poszczególnych zanieczyszczeń</w:t>
            </w:r>
          </w:p>
        </w:tc>
      </w:tr>
      <w:tr w:rsidR="00FF2359" w:rsidRPr="008B3FDF" w:rsidTr="003E6159">
        <w:trPr>
          <w:trHeight w:val="597"/>
          <w:jc w:val="center"/>
        </w:trPr>
        <w:tc>
          <w:tcPr>
            <w:cnfStyle w:val="001000000000"/>
            <w:tcW w:w="1106" w:type="pct"/>
            <w:vMerge/>
            <w:vAlign w:val="center"/>
            <w:hideMark/>
          </w:tcPr>
          <w:p w:rsidR="00FF2359" w:rsidRPr="008B3FDF" w:rsidRDefault="00FF2359" w:rsidP="003E6159">
            <w:pPr>
              <w:spacing w:line="240" w:lineRule="auto"/>
              <w:jc w:val="center"/>
              <w:rPr>
                <w:color w:val="000000"/>
              </w:rPr>
            </w:pPr>
          </w:p>
        </w:tc>
        <w:tc>
          <w:tcPr>
            <w:tcW w:w="306"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SO</w:t>
            </w:r>
            <w:r w:rsidRPr="003D662B">
              <w:rPr>
                <w:color w:val="000000"/>
                <w:vertAlign w:val="subscript"/>
              </w:rPr>
              <w:t>2</w:t>
            </w:r>
          </w:p>
        </w:tc>
        <w:tc>
          <w:tcPr>
            <w:tcW w:w="327"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NO</w:t>
            </w:r>
            <w:r w:rsidRPr="003D662B">
              <w:rPr>
                <w:color w:val="000000"/>
                <w:vertAlign w:val="subscript"/>
              </w:rPr>
              <w:t>2</w:t>
            </w:r>
          </w:p>
        </w:tc>
        <w:tc>
          <w:tcPr>
            <w:tcW w:w="275"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CO</w:t>
            </w:r>
          </w:p>
        </w:tc>
        <w:tc>
          <w:tcPr>
            <w:tcW w:w="351"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C</w:t>
            </w:r>
            <w:r w:rsidRPr="003D662B">
              <w:rPr>
                <w:color w:val="000000"/>
                <w:vertAlign w:val="subscript"/>
              </w:rPr>
              <w:t>6</w:t>
            </w:r>
            <w:r w:rsidRPr="003D662B">
              <w:rPr>
                <w:color w:val="000000"/>
              </w:rPr>
              <w:t>H</w:t>
            </w:r>
            <w:r w:rsidRPr="003D662B">
              <w:rPr>
                <w:color w:val="000000"/>
                <w:vertAlign w:val="subscript"/>
              </w:rPr>
              <w:t>6</w:t>
            </w:r>
          </w:p>
        </w:tc>
        <w:tc>
          <w:tcPr>
            <w:tcW w:w="383"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O</w:t>
            </w:r>
            <w:r w:rsidRPr="003D662B">
              <w:rPr>
                <w:color w:val="000000"/>
                <w:vertAlign w:val="subscript"/>
              </w:rPr>
              <w:t>3</w:t>
            </w:r>
          </w:p>
        </w:tc>
        <w:tc>
          <w:tcPr>
            <w:tcW w:w="418"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PM10</w:t>
            </w:r>
          </w:p>
        </w:tc>
        <w:tc>
          <w:tcPr>
            <w:tcW w:w="255"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Pb</w:t>
            </w:r>
          </w:p>
        </w:tc>
        <w:tc>
          <w:tcPr>
            <w:tcW w:w="247"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As</w:t>
            </w:r>
          </w:p>
        </w:tc>
        <w:tc>
          <w:tcPr>
            <w:tcW w:w="259"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Cd</w:t>
            </w:r>
          </w:p>
        </w:tc>
        <w:tc>
          <w:tcPr>
            <w:tcW w:w="236"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Ni</w:t>
            </w:r>
          </w:p>
        </w:tc>
        <w:tc>
          <w:tcPr>
            <w:tcW w:w="388"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B(a)P</w:t>
            </w:r>
          </w:p>
        </w:tc>
        <w:tc>
          <w:tcPr>
            <w:tcW w:w="448" w:type="pct"/>
            <w:noWrap/>
            <w:vAlign w:val="center"/>
            <w:hideMark/>
          </w:tcPr>
          <w:p w:rsidR="00FF2359" w:rsidRPr="003D662B" w:rsidRDefault="00FF2359" w:rsidP="003E6159">
            <w:pPr>
              <w:spacing w:line="240" w:lineRule="auto"/>
              <w:jc w:val="center"/>
              <w:cnfStyle w:val="000000000000"/>
              <w:rPr>
                <w:color w:val="000000"/>
              </w:rPr>
            </w:pPr>
            <w:r w:rsidRPr="003D662B">
              <w:rPr>
                <w:color w:val="000000"/>
              </w:rPr>
              <w:t>PM2,5</w:t>
            </w:r>
          </w:p>
        </w:tc>
      </w:tr>
      <w:tr w:rsidR="00FF2359" w:rsidRPr="008B3FDF" w:rsidTr="003E6159">
        <w:trPr>
          <w:trHeight w:val="569"/>
          <w:jc w:val="center"/>
        </w:trPr>
        <w:tc>
          <w:tcPr>
            <w:cnfStyle w:val="001000000000"/>
            <w:tcW w:w="1106" w:type="pct"/>
            <w:noWrap/>
            <w:vAlign w:val="center"/>
            <w:hideMark/>
          </w:tcPr>
          <w:p w:rsidR="00FF2359" w:rsidRPr="008B3FDF" w:rsidRDefault="00FF2359" w:rsidP="003E6159">
            <w:pPr>
              <w:spacing w:line="240" w:lineRule="auto"/>
              <w:jc w:val="center"/>
              <w:rPr>
                <w:color w:val="000000"/>
              </w:rPr>
            </w:pPr>
            <w:r>
              <w:rPr>
                <w:color w:val="000000"/>
              </w:rPr>
              <w:t>S</w:t>
            </w:r>
            <w:r w:rsidRPr="008B3FDF">
              <w:rPr>
                <w:color w:val="000000"/>
              </w:rPr>
              <w:t>tre</w:t>
            </w:r>
            <w:r>
              <w:rPr>
                <w:color w:val="000000"/>
              </w:rPr>
              <w:t>fa mazowiecka</w:t>
            </w:r>
          </w:p>
        </w:tc>
        <w:tc>
          <w:tcPr>
            <w:tcW w:w="306"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327"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275"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351"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383" w:type="pct"/>
            <w:shd w:val="clear" w:color="auto" w:fill="D3EBDA" w:themeFill="accent5" w:themeFillTint="33"/>
            <w:noWrap/>
            <w:vAlign w:val="center"/>
          </w:tcPr>
          <w:p w:rsidR="00FF2359" w:rsidRPr="008B3FDF" w:rsidRDefault="00FF2359" w:rsidP="003E6159">
            <w:pPr>
              <w:spacing w:line="240" w:lineRule="auto"/>
              <w:jc w:val="center"/>
              <w:cnfStyle w:val="000000000000"/>
              <w:rPr>
                <w:b/>
                <w:color w:val="000000"/>
              </w:rPr>
            </w:pPr>
            <w:r w:rsidRPr="008B3FDF">
              <w:rPr>
                <w:b/>
                <w:color w:val="000000"/>
              </w:rPr>
              <w:t>A/D2</w:t>
            </w:r>
          </w:p>
        </w:tc>
        <w:tc>
          <w:tcPr>
            <w:tcW w:w="418" w:type="pct"/>
            <w:shd w:val="clear" w:color="auto" w:fill="D3EBDA" w:themeFill="accent5" w:themeFillTint="33"/>
            <w:noWrap/>
            <w:vAlign w:val="center"/>
          </w:tcPr>
          <w:p w:rsidR="00FF2359" w:rsidRPr="008B3FDF" w:rsidRDefault="00FF2359" w:rsidP="003E6159">
            <w:pPr>
              <w:spacing w:line="240" w:lineRule="auto"/>
              <w:jc w:val="center"/>
              <w:cnfStyle w:val="000000000000"/>
              <w:rPr>
                <w:b/>
                <w:color w:val="000000"/>
              </w:rPr>
            </w:pPr>
            <w:r w:rsidRPr="008B3FDF">
              <w:rPr>
                <w:b/>
                <w:color w:val="000000"/>
              </w:rPr>
              <w:t>C</w:t>
            </w:r>
          </w:p>
        </w:tc>
        <w:tc>
          <w:tcPr>
            <w:tcW w:w="255"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247"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259"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236"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388" w:type="pct"/>
            <w:shd w:val="clear" w:color="auto" w:fill="D3EBDA" w:themeFill="accent5" w:themeFillTint="33"/>
            <w:noWrap/>
            <w:vAlign w:val="center"/>
          </w:tcPr>
          <w:p w:rsidR="00FF2359" w:rsidRPr="008B3FDF" w:rsidRDefault="00FF2359" w:rsidP="003E6159">
            <w:pPr>
              <w:spacing w:line="240" w:lineRule="auto"/>
              <w:jc w:val="center"/>
              <w:cnfStyle w:val="000000000000"/>
              <w:rPr>
                <w:b/>
                <w:color w:val="000000"/>
              </w:rPr>
            </w:pPr>
            <w:r w:rsidRPr="008B3FDF">
              <w:rPr>
                <w:b/>
                <w:color w:val="000000"/>
              </w:rPr>
              <w:t>C</w:t>
            </w:r>
          </w:p>
        </w:tc>
        <w:tc>
          <w:tcPr>
            <w:tcW w:w="448" w:type="pct"/>
            <w:shd w:val="clear" w:color="auto" w:fill="D3EBDA" w:themeFill="accent5" w:themeFillTint="33"/>
            <w:noWrap/>
            <w:vAlign w:val="center"/>
          </w:tcPr>
          <w:p w:rsidR="00FF2359" w:rsidRPr="008B3FDF" w:rsidRDefault="00FF2359" w:rsidP="003E6159">
            <w:pPr>
              <w:spacing w:line="240" w:lineRule="auto"/>
              <w:jc w:val="center"/>
              <w:cnfStyle w:val="000000000000"/>
              <w:rPr>
                <w:b/>
                <w:color w:val="000000"/>
              </w:rPr>
            </w:pPr>
            <w:r w:rsidRPr="008B3FDF">
              <w:rPr>
                <w:b/>
                <w:color w:val="000000"/>
              </w:rPr>
              <w:t>C/C1</w:t>
            </w:r>
          </w:p>
        </w:tc>
      </w:tr>
    </w:tbl>
    <w:p w:rsidR="00FF2359" w:rsidRDefault="00FF2359" w:rsidP="00FF2359">
      <w:pPr>
        <w:spacing w:before="120" w:after="120"/>
        <w:jc w:val="right"/>
        <w:rPr>
          <w:rFonts w:cstheme="majorHAnsi"/>
          <w:i/>
          <w:sz w:val="18"/>
          <w:szCs w:val="18"/>
        </w:rPr>
      </w:pPr>
      <w:r w:rsidRPr="005374F0">
        <w:rPr>
          <w:rFonts w:cstheme="majorHAnsi"/>
          <w:i/>
          <w:sz w:val="18"/>
          <w:szCs w:val="18"/>
        </w:rPr>
        <w:t>Źródło:</w:t>
      </w:r>
      <w:r>
        <w:rPr>
          <w:rFonts w:cstheme="majorHAnsi"/>
          <w:i/>
          <w:sz w:val="18"/>
          <w:szCs w:val="18"/>
        </w:rPr>
        <w:t xml:space="preserve"> Roczna </w:t>
      </w:r>
      <w:r w:rsidRPr="002E3C6D">
        <w:rPr>
          <w:rFonts w:cstheme="majorHAnsi"/>
          <w:i/>
          <w:sz w:val="18"/>
          <w:szCs w:val="18"/>
        </w:rPr>
        <w:t>ocen</w:t>
      </w:r>
      <w:r>
        <w:rPr>
          <w:rFonts w:cstheme="majorHAnsi"/>
          <w:i/>
          <w:sz w:val="18"/>
          <w:szCs w:val="18"/>
        </w:rPr>
        <w:t>a</w:t>
      </w:r>
      <w:r w:rsidRPr="002E3C6D">
        <w:rPr>
          <w:rFonts w:cstheme="majorHAnsi"/>
          <w:i/>
          <w:sz w:val="18"/>
          <w:szCs w:val="18"/>
        </w:rPr>
        <w:t xml:space="preserve"> jakości powietrza w województwie mazowieckim, raport za rok 2017</w:t>
      </w:r>
    </w:p>
    <w:p w:rsidR="00FF2359" w:rsidRPr="00761543" w:rsidRDefault="00FF2359" w:rsidP="00FF2359">
      <w:pPr>
        <w:pStyle w:val="Legenda"/>
      </w:pPr>
      <w:bookmarkStart w:id="123" w:name="_Toc524374977"/>
      <w:bookmarkStart w:id="124" w:name="_Toc524936105"/>
      <w:bookmarkStart w:id="125" w:name="_Toc528140010"/>
      <w:bookmarkStart w:id="126" w:name="_Toc530138933"/>
      <w:bookmarkStart w:id="127" w:name="_Toc535583563"/>
      <w:r w:rsidRPr="00761543">
        <w:t xml:space="preserve">Tabela </w:t>
      </w:r>
      <w:r w:rsidR="00135E52">
        <w:rPr>
          <w:noProof/>
        </w:rPr>
        <w:fldChar w:fldCharType="begin"/>
      </w:r>
      <w:r>
        <w:rPr>
          <w:noProof/>
        </w:rPr>
        <w:instrText xml:space="preserve"> SEQ Tabela \* ARABIC </w:instrText>
      </w:r>
      <w:r w:rsidR="00135E52">
        <w:rPr>
          <w:noProof/>
        </w:rPr>
        <w:fldChar w:fldCharType="separate"/>
      </w:r>
      <w:r w:rsidR="00AD136C">
        <w:rPr>
          <w:noProof/>
        </w:rPr>
        <w:t>4</w:t>
      </w:r>
      <w:r w:rsidR="00135E52">
        <w:rPr>
          <w:noProof/>
        </w:rPr>
        <w:fldChar w:fldCharType="end"/>
      </w:r>
      <w:r w:rsidRPr="00761543">
        <w:t>. Klasy stref dla poszczególnych zanieczyszczeń uzyskane w ocenie rocznej dokonanej z uwzględnieniem kryteriów ustanowionych pod kątem ochrony roślin w 2017 r.</w:t>
      </w:r>
      <w:bookmarkEnd w:id="123"/>
      <w:bookmarkEnd w:id="124"/>
      <w:bookmarkEnd w:id="125"/>
      <w:bookmarkEnd w:id="126"/>
      <w:bookmarkEnd w:id="127"/>
    </w:p>
    <w:tbl>
      <w:tblPr>
        <w:tblStyle w:val="Tabelasiatki1jasnaakcent51"/>
        <w:tblW w:w="5000" w:type="pct"/>
        <w:jc w:val="center"/>
        <w:tblLook w:val="04A0"/>
      </w:tblPr>
      <w:tblGrid>
        <w:gridCol w:w="3974"/>
        <w:gridCol w:w="1806"/>
        <w:gridCol w:w="1806"/>
        <w:gridCol w:w="1702"/>
      </w:tblGrid>
      <w:tr w:rsidR="00FF2359" w:rsidRPr="008B3FDF" w:rsidTr="003E6159">
        <w:trPr>
          <w:cnfStyle w:val="100000000000"/>
          <w:trHeight w:val="555"/>
          <w:jc w:val="center"/>
        </w:trPr>
        <w:tc>
          <w:tcPr>
            <w:cnfStyle w:val="001000000000"/>
            <w:tcW w:w="2140" w:type="pct"/>
            <w:vMerge w:val="restart"/>
            <w:noWrap/>
            <w:vAlign w:val="center"/>
            <w:hideMark/>
          </w:tcPr>
          <w:p w:rsidR="00FF2359" w:rsidRPr="008B3FDF" w:rsidRDefault="00FF2359" w:rsidP="003E6159">
            <w:pPr>
              <w:spacing w:line="240" w:lineRule="auto"/>
              <w:jc w:val="center"/>
              <w:rPr>
                <w:color w:val="000000"/>
              </w:rPr>
            </w:pPr>
            <w:r w:rsidRPr="008B3FDF">
              <w:rPr>
                <w:color w:val="000000"/>
              </w:rPr>
              <w:t>Nazwastrefy</w:t>
            </w:r>
          </w:p>
        </w:tc>
        <w:tc>
          <w:tcPr>
            <w:tcW w:w="2860" w:type="pct"/>
            <w:gridSpan w:val="3"/>
            <w:noWrap/>
            <w:vAlign w:val="center"/>
            <w:hideMark/>
          </w:tcPr>
          <w:p w:rsidR="00FF2359" w:rsidRPr="008B3FDF" w:rsidRDefault="00FF2359" w:rsidP="003E6159">
            <w:pPr>
              <w:spacing w:line="240" w:lineRule="auto"/>
              <w:jc w:val="center"/>
              <w:cnfStyle w:val="100000000000"/>
              <w:rPr>
                <w:color w:val="000000"/>
              </w:rPr>
            </w:pPr>
            <w:r w:rsidRPr="008B3FDF">
              <w:rPr>
                <w:color w:val="000000"/>
              </w:rPr>
              <w:t>Symbolklasy</w:t>
            </w:r>
            <w:r>
              <w:rPr>
                <w:color w:val="000000"/>
              </w:rPr>
              <w:t xml:space="preserve"> dla poszczególnych zanieczyszczeń</w:t>
            </w:r>
          </w:p>
        </w:tc>
      </w:tr>
      <w:tr w:rsidR="00FF2359" w:rsidRPr="008B3FDF" w:rsidTr="003E6159">
        <w:trPr>
          <w:trHeight w:val="412"/>
          <w:jc w:val="center"/>
        </w:trPr>
        <w:tc>
          <w:tcPr>
            <w:cnfStyle w:val="001000000000"/>
            <w:tcW w:w="2140" w:type="pct"/>
            <w:vMerge/>
            <w:vAlign w:val="center"/>
            <w:hideMark/>
          </w:tcPr>
          <w:p w:rsidR="00FF2359" w:rsidRPr="008B3FDF" w:rsidRDefault="00FF2359" w:rsidP="003E6159">
            <w:pPr>
              <w:spacing w:line="240" w:lineRule="auto"/>
              <w:jc w:val="center"/>
              <w:rPr>
                <w:color w:val="000000"/>
              </w:rPr>
            </w:pPr>
          </w:p>
        </w:tc>
        <w:tc>
          <w:tcPr>
            <w:tcW w:w="972" w:type="pct"/>
            <w:noWrap/>
            <w:vAlign w:val="center"/>
            <w:hideMark/>
          </w:tcPr>
          <w:p w:rsidR="00FF2359" w:rsidRPr="008B3FDF" w:rsidRDefault="00FF2359" w:rsidP="003E6159">
            <w:pPr>
              <w:spacing w:line="240" w:lineRule="auto"/>
              <w:jc w:val="center"/>
              <w:cnfStyle w:val="000000000000"/>
              <w:rPr>
                <w:color w:val="000000"/>
              </w:rPr>
            </w:pPr>
            <w:r w:rsidRPr="008B3FDF">
              <w:rPr>
                <w:color w:val="000000"/>
              </w:rPr>
              <w:t>SO</w:t>
            </w:r>
            <w:r w:rsidRPr="008B3FDF">
              <w:rPr>
                <w:color w:val="000000"/>
                <w:vertAlign w:val="subscript"/>
              </w:rPr>
              <w:t>2</w:t>
            </w:r>
          </w:p>
        </w:tc>
        <w:tc>
          <w:tcPr>
            <w:tcW w:w="972" w:type="pct"/>
            <w:noWrap/>
            <w:vAlign w:val="center"/>
            <w:hideMark/>
          </w:tcPr>
          <w:p w:rsidR="00FF2359" w:rsidRPr="008B3FDF" w:rsidRDefault="00FF2359" w:rsidP="003E6159">
            <w:pPr>
              <w:spacing w:line="240" w:lineRule="auto"/>
              <w:jc w:val="center"/>
              <w:cnfStyle w:val="000000000000"/>
              <w:rPr>
                <w:color w:val="000000"/>
              </w:rPr>
            </w:pPr>
            <w:r w:rsidRPr="008B3FDF">
              <w:rPr>
                <w:color w:val="000000"/>
              </w:rPr>
              <w:t>NO</w:t>
            </w:r>
            <w:r w:rsidRPr="008B3FDF">
              <w:rPr>
                <w:color w:val="000000"/>
                <w:vertAlign w:val="subscript"/>
              </w:rPr>
              <w:t>x</w:t>
            </w:r>
          </w:p>
        </w:tc>
        <w:tc>
          <w:tcPr>
            <w:tcW w:w="916" w:type="pct"/>
            <w:noWrap/>
            <w:vAlign w:val="center"/>
            <w:hideMark/>
          </w:tcPr>
          <w:p w:rsidR="00FF2359" w:rsidRPr="008B3FDF" w:rsidRDefault="00FF2359" w:rsidP="003E6159">
            <w:pPr>
              <w:spacing w:line="240" w:lineRule="auto"/>
              <w:jc w:val="center"/>
              <w:cnfStyle w:val="000000000000"/>
              <w:rPr>
                <w:color w:val="000000"/>
              </w:rPr>
            </w:pPr>
            <w:r w:rsidRPr="008B3FDF">
              <w:rPr>
                <w:color w:val="000000"/>
              </w:rPr>
              <w:t>O</w:t>
            </w:r>
            <w:r w:rsidRPr="008B3FDF">
              <w:rPr>
                <w:color w:val="000000"/>
                <w:vertAlign w:val="subscript"/>
              </w:rPr>
              <w:t>3</w:t>
            </w:r>
          </w:p>
        </w:tc>
      </w:tr>
      <w:tr w:rsidR="00FF2359" w:rsidRPr="008B3FDF" w:rsidTr="003E6159">
        <w:trPr>
          <w:trHeight w:val="555"/>
          <w:jc w:val="center"/>
        </w:trPr>
        <w:tc>
          <w:tcPr>
            <w:cnfStyle w:val="001000000000"/>
            <w:tcW w:w="2140" w:type="pct"/>
            <w:noWrap/>
            <w:vAlign w:val="center"/>
            <w:hideMark/>
          </w:tcPr>
          <w:p w:rsidR="00FF2359" w:rsidRPr="008B3FDF" w:rsidRDefault="00FF2359" w:rsidP="003E6159">
            <w:pPr>
              <w:spacing w:line="240" w:lineRule="auto"/>
              <w:jc w:val="center"/>
              <w:rPr>
                <w:color w:val="000000"/>
              </w:rPr>
            </w:pPr>
            <w:r>
              <w:rPr>
                <w:color w:val="000000"/>
              </w:rPr>
              <w:t>S</w:t>
            </w:r>
            <w:r w:rsidRPr="008B3FDF">
              <w:rPr>
                <w:color w:val="000000"/>
              </w:rPr>
              <w:t>tre</w:t>
            </w:r>
            <w:r>
              <w:rPr>
                <w:color w:val="000000"/>
              </w:rPr>
              <w:t>fa mazowiecka</w:t>
            </w:r>
          </w:p>
        </w:tc>
        <w:tc>
          <w:tcPr>
            <w:tcW w:w="972"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972" w:type="pct"/>
            <w:noWrap/>
            <w:vAlign w:val="center"/>
          </w:tcPr>
          <w:p w:rsidR="00FF2359" w:rsidRPr="008B3FDF" w:rsidRDefault="00FF2359" w:rsidP="003E6159">
            <w:pPr>
              <w:spacing w:line="240" w:lineRule="auto"/>
              <w:jc w:val="center"/>
              <w:cnfStyle w:val="000000000000"/>
              <w:rPr>
                <w:color w:val="000000"/>
              </w:rPr>
            </w:pPr>
            <w:r w:rsidRPr="008B3FDF">
              <w:rPr>
                <w:color w:val="000000"/>
              </w:rPr>
              <w:t>A</w:t>
            </w:r>
          </w:p>
        </w:tc>
        <w:tc>
          <w:tcPr>
            <w:tcW w:w="916" w:type="pct"/>
            <w:noWrap/>
            <w:vAlign w:val="center"/>
          </w:tcPr>
          <w:p w:rsidR="00FF2359" w:rsidRPr="008B3FDF" w:rsidRDefault="00FF2359" w:rsidP="003E6159">
            <w:pPr>
              <w:spacing w:line="240" w:lineRule="auto"/>
              <w:jc w:val="center"/>
              <w:cnfStyle w:val="000000000000"/>
              <w:rPr>
                <w:b/>
                <w:color w:val="000000"/>
              </w:rPr>
            </w:pPr>
            <w:r w:rsidRPr="008B3FDF">
              <w:rPr>
                <w:b/>
                <w:color w:val="000000"/>
              </w:rPr>
              <w:t>A/</w:t>
            </w:r>
            <w:r w:rsidRPr="008B4A28">
              <w:rPr>
                <w:b/>
                <w:color w:val="000000"/>
                <w:shd w:val="clear" w:color="auto" w:fill="D3EBDA" w:themeFill="accent5" w:themeFillTint="33"/>
              </w:rPr>
              <w:t>D2</w:t>
            </w:r>
          </w:p>
        </w:tc>
      </w:tr>
    </w:tbl>
    <w:p w:rsidR="00FF2359" w:rsidRDefault="00FF2359" w:rsidP="00FF2359">
      <w:pPr>
        <w:spacing w:before="120" w:after="120"/>
        <w:jc w:val="right"/>
        <w:rPr>
          <w:rFonts w:cstheme="majorHAnsi"/>
          <w:i/>
          <w:sz w:val="18"/>
          <w:szCs w:val="18"/>
        </w:rPr>
      </w:pPr>
      <w:r w:rsidRPr="005374F0">
        <w:rPr>
          <w:rFonts w:cstheme="majorHAnsi"/>
          <w:i/>
          <w:sz w:val="18"/>
          <w:szCs w:val="18"/>
        </w:rPr>
        <w:t>Źródło:</w:t>
      </w:r>
      <w:r>
        <w:rPr>
          <w:rFonts w:cstheme="majorHAnsi"/>
          <w:i/>
          <w:sz w:val="18"/>
          <w:szCs w:val="18"/>
        </w:rPr>
        <w:t xml:space="preserve"> Roczna </w:t>
      </w:r>
      <w:r w:rsidRPr="002E3C6D">
        <w:rPr>
          <w:rFonts w:cstheme="majorHAnsi"/>
          <w:i/>
          <w:sz w:val="18"/>
          <w:szCs w:val="18"/>
        </w:rPr>
        <w:t>ocen</w:t>
      </w:r>
      <w:r>
        <w:rPr>
          <w:rFonts w:cstheme="majorHAnsi"/>
          <w:i/>
          <w:sz w:val="18"/>
          <w:szCs w:val="18"/>
        </w:rPr>
        <w:t>a</w:t>
      </w:r>
      <w:r w:rsidRPr="002E3C6D">
        <w:rPr>
          <w:rFonts w:cstheme="majorHAnsi"/>
          <w:i/>
          <w:sz w:val="18"/>
          <w:szCs w:val="18"/>
        </w:rPr>
        <w:t xml:space="preserve"> jakości powietrza w województwie mazowieckim, raport za rok 2017</w:t>
      </w:r>
      <w:r>
        <w:rPr>
          <w:rFonts w:cstheme="majorHAnsi"/>
          <w:i/>
          <w:sz w:val="18"/>
          <w:szCs w:val="18"/>
        </w:rPr>
        <w:t>.</w:t>
      </w:r>
    </w:p>
    <w:p w:rsidR="00C13FF9" w:rsidRPr="00C54395" w:rsidRDefault="00C13FF9" w:rsidP="00FF2359">
      <w:pPr>
        <w:spacing w:before="120" w:after="120"/>
        <w:jc w:val="right"/>
        <w:rPr>
          <w:rFonts w:cstheme="majorHAnsi"/>
          <w:i/>
          <w:sz w:val="18"/>
          <w:szCs w:val="18"/>
        </w:rPr>
      </w:pPr>
    </w:p>
    <w:p w:rsidR="00FF2359" w:rsidRPr="00FB1BDC" w:rsidRDefault="00FF2359" w:rsidP="00FF2359">
      <w:pPr>
        <w:pStyle w:val="Styl2"/>
        <w:spacing w:line="360" w:lineRule="auto"/>
        <w:jc w:val="left"/>
      </w:pPr>
      <w:bookmarkStart w:id="128" w:name="_Toc524375251"/>
      <w:bookmarkStart w:id="129" w:name="_Toc524936078"/>
      <w:bookmarkStart w:id="130" w:name="_Toc528140065"/>
      <w:bookmarkStart w:id="131" w:name="_Toc528749856"/>
      <w:bookmarkStart w:id="132" w:name="_Toc535233341"/>
      <w:bookmarkStart w:id="133" w:name="_Toc524375250"/>
      <w:bookmarkStart w:id="134" w:name="_Toc524936077"/>
      <w:bookmarkStart w:id="135" w:name="_Toc528140064"/>
      <w:bookmarkStart w:id="136" w:name="_Toc528749855"/>
      <w:r w:rsidRPr="00FB1BDC">
        <w:lastRenderedPageBreak/>
        <w:t>5.</w:t>
      </w:r>
      <w:r>
        <w:t xml:space="preserve">2 </w:t>
      </w:r>
      <w:r w:rsidRPr="00FB1BDC">
        <w:t xml:space="preserve">Zanieczyszczenia powietrza na terenie </w:t>
      </w:r>
      <w:bookmarkEnd w:id="128"/>
      <w:bookmarkEnd w:id="129"/>
      <w:bookmarkEnd w:id="130"/>
      <w:bookmarkEnd w:id="131"/>
      <w:r w:rsidR="008329EC">
        <w:t>Miasta Mława</w:t>
      </w:r>
      <w:bookmarkEnd w:id="132"/>
    </w:p>
    <w:p w:rsidR="00FF2359" w:rsidRDefault="00FF2359" w:rsidP="00FF2359">
      <w:r>
        <w:t xml:space="preserve">Zgodnie z Załącznikiem nr 1 do uchwały nr 98/17 Sejmiku Województwa Mazowieckiego z dnia 20 czerwca 2017 r., </w:t>
      </w:r>
      <w:r w:rsidR="004E3F33">
        <w:t xml:space="preserve">W Mieście Mława stwierdzono </w:t>
      </w:r>
      <w:r w:rsidRPr="008224D3">
        <w:t>przekrocze</w:t>
      </w:r>
      <w:r w:rsidR="004E3F33">
        <w:t>nia</w:t>
      </w:r>
      <w:r w:rsidRPr="008224D3">
        <w:t xml:space="preserve"> poziomu dopuszczalnego pyłu zawieszonego PM10</w:t>
      </w:r>
      <w:r>
        <w:t xml:space="preserve"> oraz PM2.5.</w:t>
      </w:r>
    </w:p>
    <w:p w:rsidR="00FF2359" w:rsidRDefault="00FF2359" w:rsidP="00FF2359">
      <w:r>
        <w:t xml:space="preserve">Zgodnie z przytaczanym dokumentem szacunkowy obszar, na którym został przekroczony poziom dopuszczalny </w:t>
      </w:r>
      <w:r w:rsidRPr="008224D3">
        <w:t>pyłu zawieszonego PM10</w:t>
      </w:r>
      <w:r>
        <w:t xml:space="preserve"> oraz PM2.5 w 2015 r to </w:t>
      </w:r>
      <w:r w:rsidR="00535D16">
        <w:t>35</w:t>
      </w:r>
      <w:r>
        <w:t xml:space="preserve"> km</w:t>
      </w:r>
      <w:r w:rsidRPr="008224D3">
        <w:rPr>
          <w:vertAlign w:val="superscript"/>
        </w:rPr>
        <w:t>2</w:t>
      </w:r>
      <w:r>
        <w:t>, obszar charakterze miejskim</w:t>
      </w:r>
      <w:r w:rsidR="00CF7408">
        <w:t xml:space="preserve">. </w:t>
      </w:r>
      <w:r>
        <w:t xml:space="preserve">Szacunkowa średnia liczba osób obecna na obszarze, na którym został przekroczony poziom dopuszczalny pyłów w 2015 r. wyniosła </w:t>
      </w:r>
      <w:r w:rsidR="00CF7408" w:rsidRPr="00CF7408">
        <w:t>31030</w:t>
      </w:r>
      <w:r>
        <w:t xml:space="preserve">, szacunkowa średnia liczba wrażliwych grup ludności wyniosła </w:t>
      </w:r>
      <w:r w:rsidR="00CF7408" w:rsidRPr="00CF7408">
        <w:t>10861</w:t>
      </w:r>
      <w:r>
        <w:t xml:space="preserve"> osób. Szacowana wielkość obszarów ekosystemów (obszarów zielonych) narażonych na przekroczenia wyniosła </w:t>
      </w:r>
      <w:r w:rsidR="00CF7408" w:rsidRPr="00CF7408">
        <w:t>649600</w:t>
      </w:r>
      <w:r>
        <w:t xml:space="preserve"> m</w:t>
      </w:r>
      <w:r w:rsidRPr="005F7782">
        <w:rPr>
          <w:vertAlign w:val="superscript"/>
        </w:rPr>
        <w:t>2</w:t>
      </w:r>
      <w:r>
        <w:t>.</w:t>
      </w:r>
    </w:p>
    <w:p w:rsidR="00FF2359" w:rsidRDefault="00FF2359" w:rsidP="00FF2359">
      <w:r>
        <w:t>Za przyczynę wystąpienia przekroczeń podaje się oddziaływanie emisji związanych z</w:t>
      </w:r>
      <w:r w:rsidR="00B70A8F">
        <w:t> </w:t>
      </w:r>
      <w:r>
        <w:t>indywidualnym ogrzewaniem budynków.</w:t>
      </w:r>
    </w:p>
    <w:p w:rsidR="00FF2359" w:rsidRPr="005F7782" w:rsidRDefault="00FF2359" w:rsidP="00FF2359">
      <w:pPr>
        <w:rPr>
          <w:u w:val="single"/>
        </w:rPr>
      </w:pPr>
      <w:r w:rsidRPr="005F7782">
        <w:rPr>
          <w:u w:val="single"/>
        </w:rPr>
        <w:t>Dla pył</w:t>
      </w:r>
      <w:r>
        <w:rPr>
          <w:u w:val="single"/>
        </w:rPr>
        <w:t>u</w:t>
      </w:r>
      <w:r w:rsidRPr="005F7782">
        <w:rPr>
          <w:u w:val="single"/>
        </w:rPr>
        <w:t xml:space="preserve"> zawieszonego PM10:</w:t>
      </w:r>
    </w:p>
    <w:p w:rsidR="00FF2359" w:rsidRDefault="00FF2359" w:rsidP="00FF2359">
      <w:r>
        <w:t xml:space="preserve">Częstość przekroczeń dla stężeń 24- godzinnych pyłu zawieszonego PM10 występowała przez </w:t>
      </w:r>
      <w:r w:rsidR="00CF7408">
        <w:t>94</w:t>
      </w:r>
      <w:r>
        <w:t xml:space="preserve"> dni. Natomiast 36 max. stężenie dobowe pyłu zawieszonego PM10 to </w:t>
      </w:r>
      <w:r w:rsidR="00CF7408" w:rsidRPr="00CF7408">
        <w:t>65,66</w:t>
      </w:r>
      <w:r>
        <w:t>µg/m</w:t>
      </w:r>
      <w:r w:rsidRPr="005F7782">
        <w:rPr>
          <w:vertAlign w:val="superscript"/>
        </w:rPr>
        <w:t>3</w:t>
      </w:r>
      <w:r>
        <w:t xml:space="preserve">. Wartość max. stężenia średniorocznego pyłu zawieszonego PM10  osiągnęła </w:t>
      </w:r>
      <w:r w:rsidR="00CF7408" w:rsidRPr="00CF7408">
        <w:t>36,76</w:t>
      </w:r>
      <w:r>
        <w:t>µg/m</w:t>
      </w:r>
      <w:r w:rsidRPr="005F7782">
        <w:rPr>
          <w:vertAlign w:val="superscript"/>
        </w:rPr>
        <w:t>3</w:t>
      </w:r>
      <w:r>
        <w:t xml:space="preserve">. Emisja pyłu zawieszonego PM10 w obszarze przekroczeń to </w:t>
      </w:r>
      <w:r w:rsidR="00CF7408" w:rsidRPr="00CF7408">
        <w:t>296,90</w:t>
      </w:r>
      <w:r>
        <w:t>Mg/rok.</w:t>
      </w:r>
    </w:p>
    <w:p w:rsidR="00F07CFA" w:rsidRDefault="00F07CFA" w:rsidP="00F07CFA">
      <w:pPr>
        <w:rPr>
          <w:u w:val="single"/>
        </w:rPr>
      </w:pPr>
      <w:r w:rsidRPr="005F7782">
        <w:rPr>
          <w:u w:val="single"/>
        </w:rPr>
        <w:t>Dla pył</w:t>
      </w:r>
      <w:r>
        <w:rPr>
          <w:u w:val="single"/>
        </w:rPr>
        <w:t>u</w:t>
      </w:r>
      <w:r w:rsidRPr="005F7782">
        <w:rPr>
          <w:u w:val="single"/>
        </w:rPr>
        <w:t xml:space="preserve"> zawieszonego PM</w:t>
      </w:r>
      <w:r>
        <w:rPr>
          <w:u w:val="single"/>
        </w:rPr>
        <w:t>2.5:</w:t>
      </w:r>
    </w:p>
    <w:p w:rsidR="00F07CFA" w:rsidRDefault="00F07CFA" w:rsidP="00F07CFA">
      <w:r>
        <w:t xml:space="preserve">Wartość max. stężenia średniorocznego pyłu zawieszonego PM2.5 wyniosła </w:t>
      </w:r>
      <w:r w:rsidRPr="00F07CFA">
        <w:t>35,49</w:t>
      </w:r>
      <w:r>
        <w:t xml:space="preserve"> µg/m³.Emisja pyłu zawieszone go PM2.5 w obszarze przekroczeń </w:t>
      </w:r>
      <w:r w:rsidRPr="00F07CFA">
        <w:t>246,29</w:t>
      </w:r>
      <w:r>
        <w:t xml:space="preserve"> Mg/rok.</w:t>
      </w:r>
    </w:p>
    <w:p w:rsidR="00CF7408" w:rsidRDefault="00DA6FA3" w:rsidP="00FF2359">
      <w:r>
        <w:t xml:space="preserve">Dane pomiarowe za rok 2015 pochodzą ze stacji pomiarowej typu manualnego </w:t>
      </w:r>
      <w:r w:rsidRPr="00DA6FA3">
        <w:t xml:space="preserve">Mława, ul. Ordona MzMlawOrdona </w:t>
      </w:r>
      <w:r>
        <w:t>(</w:t>
      </w:r>
      <w:r w:rsidRPr="00DA6FA3">
        <w:t>20°22'20"E, 53°06'42.51"N</w:t>
      </w:r>
      <w:r>
        <w:t xml:space="preserve">). Zgodnie z informacjami uzyskanymi od właściciela stacji (WIOŚ w Warszawie), stacja została zlikwidowana, a obecne wyniki pomiarów zanieczyszczenia powietrza uzyskiwane są za pomocą </w:t>
      </w:r>
      <w:r w:rsidR="00350E1F">
        <w:t xml:space="preserve">map z </w:t>
      </w:r>
      <w:r w:rsidRPr="00350E1F">
        <w:t>modelowania</w:t>
      </w:r>
      <w:r w:rsidR="00350E1F">
        <w:t xml:space="preserve"> na potrzeby ocen</w:t>
      </w:r>
      <w:r w:rsidR="00350E1F">
        <w:rPr>
          <w:rStyle w:val="Odwoanieprzypisudolnego"/>
        </w:rPr>
        <w:footnoteReference w:id="6"/>
      </w:r>
      <w:r w:rsidR="00350E1F">
        <w:t>.</w:t>
      </w:r>
    </w:p>
    <w:p w:rsidR="00E5535B" w:rsidRDefault="00E5535B" w:rsidP="00E5535B">
      <w:pPr>
        <w:pStyle w:val="Legenda"/>
        <w:keepNext/>
      </w:pPr>
      <w:bookmarkStart w:id="138" w:name="_Toc535583564"/>
      <w:r>
        <w:t xml:space="preserve">Tabela </w:t>
      </w:r>
      <w:r w:rsidR="00135E52">
        <w:rPr>
          <w:noProof/>
        </w:rPr>
        <w:fldChar w:fldCharType="begin"/>
      </w:r>
      <w:r w:rsidR="00764366">
        <w:rPr>
          <w:noProof/>
        </w:rPr>
        <w:instrText xml:space="preserve"> SEQ Tabela \* ARABIC </w:instrText>
      </w:r>
      <w:r w:rsidR="00135E52">
        <w:rPr>
          <w:noProof/>
        </w:rPr>
        <w:fldChar w:fldCharType="separate"/>
      </w:r>
      <w:r w:rsidR="00AD136C">
        <w:rPr>
          <w:noProof/>
        </w:rPr>
        <w:t>5</w:t>
      </w:r>
      <w:r w:rsidR="00135E52">
        <w:rPr>
          <w:noProof/>
        </w:rPr>
        <w:fldChar w:fldCharType="end"/>
      </w:r>
      <w:r w:rsidRPr="000E6247">
        <w:t xml:space="preserve">Poziomy dopuszczalne do klasyfikacji stref </w:t>
      </w:r>
      <w:r>
        <w:t>w</w:t>
      </w:r>
      <w:r w:rsidRPr="000E6247">
        <w:t xml:space="preserve"> ochrona zdrowia</w:t>
      </w:r>
      <w:r>
        <w:t>.</w:t>
      </w:r>
      <w:r w:rsidR="007B495C">
        <w:t xml:space="preserve"> Dane źródłowe: </w:t>
      </w:r>
      <w:r w:rsidR="007B495C" w:rsidRPr="007B495C">
        <w:t>Roczna Ocena Jakości Powietrza w</w:t>
      </w:r>
      <w:r w:rsidR="00B70A8F">
        <w:t> </w:t>
      </w:r>
      <w:r w:rsidR="007B495C" w:rsidRPr="007B495C">
        <w:t>województwie mazowieckim. Raport za rok 2017.</w:t>
      </w:r>
      <w:bookmarkEnd w:id="138"/>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3021"/>
        <w:gridCol w:w="3021"/>
      </w:tblGrid>
      <w:tr w:rsidR="00E5535B" w:rsidRPr="00E5535B" w:rsidTr="009F263B">
        <w:trPr>
          <w:cnfStyle w:val="100000000000"/>
        </w:trPr>
        <w:tc>
          <w:tcPr>
            <w:cnfStyle w:val="001000000000"/>
            <w:tcW w:w="3020" w:type="dxa"/>
            <w:vMerge w:val="restart"/>
            <w:tcBorders>
              <w:top w:val="none" w:sz="0" w:space="0" w:color="auto"/>
              <w:bottom w:val="none" w:sz="0" w:space="0" w:color="auto"/>
              <w:right w:val="none" w:sz="0" w:space="0" w:color="auto"/>
            </w:tcBorders>
          </w:tcPr>
          <w:p w:rsidR="00E5535B" w:rsidRPr="00DE09A6" w:rsidRDefault="00E5535B" w:rsidP="00E5535B">
            <w:pPr>
              <w:autoSpaceDE w:val="0"/>
              <w:autoSpaceDN w:val="0"/>
              <w:adjustRightInd w:val="0"/>
              <w:spacing w:line="240" w:lineRule="auto"/>
              <w:jc w:val="center"/>
              <w:rPr>
                <w:rFonts w:cs="Times New Roman"/>
              </w:rPr>
            </w:pPr>
            <w:r w:rsidRPr="00DE09A6">
              <w:rPr>
                <w:rFonts w:cs="Times New Roman"/>
              </w:rPr>
              <w:t>Pył zawieszony</w:t>
            </w:r>
          </w:p>
          <w:p w:rsidR="00E5535B" w:rsidRPr="00DE09A6" w:rsidRDefault="00E5535B" w:rsidP="00E5535B">
            <w:pPr>
              <w:jc w:val="center"/>
            </w:pPr>
            <w:r w:rsidRPr="00DE09A6">
              <w:rPr>
                <w:rFonts w:cs="Times New Roman"/>
              </w:rPr>
              <w:lastRenderedPageBreak/>
              <w:t>PM 10</w:t>
            </w:r>
          </w:p>
        </w:tc>
        <w:tc>
          <w:tcPr>
            <w:tcW w:w="3021" w:type="dxa"/>
            <w:tcBorders>
              <w:top w:val="none" w:sz="0" w:space="0" w:color="auto"/>
              <w:left w:val="none" w:sz="0" w:space="0" w:color="auto"/>
              <w:bottom w:val="none" w:sz="0" w:space="0" w:color="auto"/>
              <w:right w:val="none" w:sz="0" w:space="0" w:color="auto"/>
            </w:tcBorders>
          </w:tcPr>
          <w:p w:rsidR="00E5535B" w:rsidRPr="004E3F33" w:rsidRDefault="00E5535B" w:rsidP="00E5535B">
            <w:pPr>
              <w:jc w:val="center"/>
              <w:cnfStyle w:val="100000000000"/>
              <w:rPr>
                <w:b w:val="0"/>
              </w:rPr>
            </w:pPr>
            <w:r w:rsidRPr="004E3F33">
              <w:rPr>
                <w:rFonts w:cs="Times New Roman"/>
                <w:b w:val="0"/>
              </w:rPr>
              <w:lastRenderedPageBreak/>
              <w:t>24-h</w:t>
            </w:r>
          </w:p>
        </w:tc>
        <w:tc>
          <w:tcPr>
            <w:tcW w:w="3021" w:type="dxa"/>
            <w:tcBorders>
              <w:top w:val="none" w:sz="0" w:space="0" w:color="auto"/>
              <w:left w:val="none" w:sz="0" w:space="0" w:color="auto"/>
              <w:bottom w:val="none" w:sz="0" w:space="0" w:color="auto"/>
            </w:tcBorders>
          </w:tcPr>
          <w:p w:rsidR="00E5535B" w:rsidRPr="004E3F33" w:rsidRDefault="00E5535B" w:rsidP="00E5535B">
            <w:pPr>
              <w:jc w:val="center"/>
              <w:cnfStyle w:val="100000000000"/>
              <w:rPr>
                <w:b w:val="0"/>
              </w:rPr>
            </w:pPr>
            <w:r w:rsidRPr="004E3F33">
              <w:rPr>
                <w:rFonts w:cs="Times New Roman"/>
                <w:b w:val="0"/>
              </w:rPr>
              <w:t>50 μg/m3</w:t>
            </w:r>
          </w:p>
        </w:tc>
      </w:tr>
      <w:tr w:rsidR="00E5535B" w:rsidRPr="00E5535B" w:rsidTr="009F263B">
        <w:trPr>
          <w:cnfStyle w:val="000000100000"/>
        </w:trPr>
        <w:tc>
          <w:tcPr>
            <w:cnfStyle w:val="001000000000"/>
            <w:tcW w:w="3020" w:type="dxa"/>
            <w:vMerge/>
          </w:tcPr>
          <w:p w:rsidR="00E5535B" w:rsidRPr="00DE09A6" w:rsidRDefault="00E5535B" w:rsidP="00E5535B">
            <w:pPr>
              <w:jc w:val="center"/>
            </w:pPr>
          </w:p>
        </w:tc>
        <w:tc>
          <w:tcPr>
            <w:tcW w:w="3021" w:type="dxa"/>
          </w:tcPr>
          <w:p w:rsidR="00E5535B" w:rsidRPr="004E3F33" w:rsidRDefault="00E5535B" w:rsidP="00E5535B">
            <w:pPr>
              <w:jc w:val="center"/>
              <w:cnfStyle w:val="000000100000"/>
            </w:pPr>
            <w:r w:rsidRPr="004E3F33">
              <w:rPr>
                <w:rFonts w:cs="Times New Roman"/>
              </w:rPr>
              <w:t>rok</w:t>
            </w:r>
          </w:p>
        </w:tc>
        <w:tc>
          <w:tcPr>
            <w:tcW w:w="3021" w:type="dxa"/>
          </w:tcPr>
          <w:p w:rsidR="00E5535B" w:rsidRPr="004E3F33" w:rsidRDefault="00E5535B" w:rsidP="00E5535B">
            <w:pPr>
              <w:jc w:val="center"/>
              <w:cnfStyle w:val="000000100000"/>
            </w:pPr>
            <w:r w:rsidRPr="004E3F33">
              <w:rPr>
                <w:rFonts w:cs="Times New Roman"/>
              </w:rPr>
              <w:t>40 μg/m3</w:t>
            </w:r>
          </w:p>
        </w:tc>
      </w:tr>
      <w:tr w:rsidR="00E5535B" w:rsidRPr="00E5535B" w:rsidTr="009F263B">
        <w:tc>
          <w:tcPr>
            <w:cnfStyle w:val="001000000000"/>
            <w:tcW w:w="3020" w:type="dxa"/>
            <w:vMerge w:val="restart"/>
          </w:tcPr>
          <w:p w:rsidR="00E5535B" w:rsidRPr="00DE09A6" w:rsidRDefault="00E5535B" w:rsidP="00E5535B">
            <w:pPr>
              <w:autoSpaceDE w:val="0"/>
              <w:autoSpaceDN w:val="0"/>
              <w:adjustRightInd w:val="0"/>
              <w:spacing w:line="240" w:lineRule="auto"/>
              <w:jc w:val="center"/>
              <w:rPr>
                <w:rFonts w:cs="Times New Roman"/>
              </w:rPr>
            </w:pPr>
            <w:r w:rsidRPr="00DE09A6">
              <w:rPr>
                <w:rFonts w:cs="Times New Roman"/>
              </w:rPr>
              <w:lastRenderedPageBreak/>
              <w:t>Pył zawieszony</w:t>
            </w:r>
          </w:p>
          <w:p w:rsidR="00E5535B" w:rsidRPr="00DE09A6" w:rsidRDefault="00E5535B" w:rsidP="00E5535B">
            <w:pPr>
              <w:jc w:val="center"/>
            </w:pPr>
            <w:r w:rsidRPr="00DE09A6">
              <w:rPr>
                <w:rFonts w:cs="Times New Roman"/>
              </w:rPr>
              <w:t>PM2,5</w:t>
            </w:r>
          </w:p>
        </w:tc>
        <w:tc>
          <w:tcPr>
            <w:tcW w:w="3021" w:type="dxa"/>
          </w:tcPr>
          <w:p w:rsidR="00E5535B" w:rsidRPr="00DE09A6" w:rsidRDefault="00E5535B" w:rsidP="00E5535B">
            <w:pPr>
              <w:jc w:val="center"/>
              <w:cnfStyle w:val="000000000000"/>
            </w:pPr>
            <w:r w:rsidRPr="00DE09A6">
              <w:t>rok</w:t>
            </w:r>
          </w:p>
        </w:tc>
        <w:tc>
          <w:tcPr>
            <w:tcW w:w="3021" w:type="dxa"/>
          </w:tcPr>
          <w:p w:rsidR="00E5535B" w:rsidRPr="00DE09A6" w:rsidRDefault="00E5535B" w:rsidP="00E5535B">
            <w:pPr>
              <w:autoSpaceDE w:val="0"/>
              <w:autoSpaceDN w:val="0"/>
              <w:adjustRightInd w:val="0"/>
              <w:spacing w:line="240" w:lineRule="auto"/>
              <w:jc w:val="center"/>
              <w:cnfStyle w:val="000000000000"/>
              <w:rPr>
                <w:rFonts w:cs="Times New Roman"/>
              </w:rPr>
            </w:pPr>
            <w:r w:rsidRPr="00DE09A6">
              <w:rPr>
                <w:rFonts w:cs="Times New Roman"/>
              </w:rPr>
              <w:t>25 μg/m3 dla fazy I</w:t>
            </w:r>
          </w:p>
        </w:tc>
      </w:tr>
      <w:tr w:rsidR="00E5535B" w:rsidRPr="00E5535B" w:rsidTr="009F263B">
        <w:trPr>
          <w:cnfStyle w:val="000000100000"/>
        </w:trPr>
        <w:tc>
          <w:tcPr>
            <w:cnfStyle w:val="001000000000"/>
            <w:tcW w:w="3020" w:type="dxa"/>
            <w:vMerge/>
          </w:tcPr>
          <w:p w:rsidR="00E5535B" w:rsidRPr="00DE09A6" w:rsidRDefault="00E5535B" w:rsidP="00E5535B">
            <w:pPr>
              <w:jc w:val="center"/>
            </w:pPr>
          </w:p>
        </w:tc>
        <w:tc>
          <w:tcPr>
            <w:tcW w:w="3021" w:type="dxa"/>
          </w:tcPr>
          <w:p w:rsidR="00E5535B" w:rsidRPr="00DE09A6" w:rsidRDefault="00E5535B" w:rsidP="00E5535B">
            <w:pPr>
              <w:jc w:val="center"/>
              <w:cnfStyle w:val="000000100000"/>
            </w:pPr>
            <w:r w:rsidRPr="00DE09A6">
              <w:t>rok</w:t>
            </w:r>
          </w:p>
        </w:tc>
        <w:tc>
          <w:tcPr>
            <w:tcW w:w="3021" w:type="dxa"/>
          </w:tcPr>
          <w:p w:rsidR="00E5535B" w:rsidRPr="00DE09A6" w:rsidRDefault="00E5535B" w:rsidP="00E5535B">
            <w:pPr>
              <w:autoSpaceDE w:val="0"/>
              <w:autoSpaceDN w:val="0"/>
              <w:adjustRightInd w:val="0"/>
              <w:spacing w:line="240" w:lineRule="auto"/>
              <w:jc w:val="center"/>
              <w:cnfStyle w:val="000000100000"/>
              <w:rPr>
                <w:rFonts w:cs="Times New Roman"/>
              </w:rPr>
            </w:pPr>
            <w:r w:rsidRPr="00DE09A6">
              <w:rPr>
                <w:rFonts w:cs="Times New Roman"/>
              </w:rPr>
              <w:t>20 μg/m3 dla fazy II*</w:t>
            </w:r>
          </w:p>
        </w:tc>
      </w:tr>
      <w:tr w:rsidR="00E5535B" w:rsidRPr="00E5535B" w:rsidTr="009F263B">
        <w:tc>
          <w:tcPr>
            <w:cnfStyle w:val="001000000000"/>
            <w:tcW w:w="3020" w:type="dxa"/>
          </w:tcPr>
          <w:p w:rsidR="00E5535B" w:rsidRPr="00DE09A6" w:rsidRDefault="00E5535B" w:rsidP="00E5535B">
            <w:pPr>
              <w:jc w:val="center"/>
            </w:pPr>
            <w:r w:rsidRPr="00DE09A6">
              <w:rPr>
                <w:rFonts w:cs="Times New Roman"/>
              </w:rPr>
              <w:t>Benzo(a)piren</w:t>
            </w:r>
          </w:p>
        </w:tc>
        <w:tc>
          <w:tcPr>
            <w:tcW w:w="3021" w:type="dxa"/>
          </w:tcPr>
          <w:p w:rsidR="00E5535B" w:rsidRPr="00DE09A6" w:rsidRDefault="00E5535B" w:rsidP="00E5535B">
            <w:pPr>
              <w:autoSpaceDE w:val="0"/>
              <w:autoSpaceDN w:val="0"/>
              <w:adjustRightInd w:val="0"/>
              <w:spacing w:line="240" w:lineRule="auto"/>
              <w:jc w:val="center"/>
              <w:cnfStyle w:val="000000000000"/>
              <w:rPr>
                <w:rFonts w:cs="Times New Roman"/>
              </w:rPr>
            </w:pPr>
            <w:r w:rsidRPr="00DE09A6">
              <w:rPr>
                <w:rFonts w:cs="Times New Roman"/>
              </w:rPr>
              <w:t>rok</w:t>
            </w:r>
          </w:p>
        </w:tc>
        <w:tc>
          <w:tcPr>
            <w:tcW w:w="3021" w:type="dxa"/>
          </w:tcPr>
          <w:p w:rsidR="00E5535B" w:rsidRPr="00DE09A6" w:rsidRDefault="00E5535B" w:rsidP="00E5535B">
            <w:pPr>
              <w:autoSpaceDE w:val="0"/>
              <w:autoSpaceDN w:val="0"/>
              <w:adjustRightInd w:val="0"/>
              <w:spacing w:line="240" w:lineRule="auto"/>
              <w:jc w:val="center"/>
              <w:cnfStyle w:val="000000000000"/>
              <w:rPr>
                <w:rFonts w:cs="Times New Roman"/>
              </w:rPr>
            </w:pPr>
            <w:r w:rsidRPr="00DE09A6">
              <w:rPr>
                <w:rFonts w:cs="Times New Roman"/>
              </w:rPr>
              <w:t>1 ng/m3</w:t>
            </w:r>
          </w:p>
        </w:tc>
      </w:tr>
    </w:tbl>
    <w:p w:rsidR="00DE09A6" w:rsidRDefault="00DE09A6" w:rsidP="00FF2359">
      <w:r>
        <w:t>Powyżej przedstawione zostały dopuszczalne poziomy stężeń dla pyłów zawieszonych oraz B</w:t>
      </w:r>
      <w:r w:rsidR="000E5506">
        <w:t>A</w:t>
      </w:r>
      <w:r>
        <w:t xml:space="preserve">P. Dane te stanowią odniesienie dla poziomu przekroczeń w dalszych częściach niniejszego opracowania. </w:t>
      </w:r>
    </w:p>
    <w:p w:rsidR="00E5535B" w:rsidRDefault="00E5535B" w:rsidP="00FF2359">
      <w:pPr>
        <w:rPr>
          <w:b/>
          <w:u w:val="single"/>
        </w:rPr>
      </w:pPr>
      <w:r w:rsidRPr="00185198">
        <w:rPr>
          <w:b/>
          <w:u w:val="single"/>
        </w:rPr>
        <w:t>Benzo(a)piren</w:t>
      </w:r>
    </w:p>
    <w:p w:rsidR="00BB2D25" w:rsidRPr="00BB2D25" w:rsidRDefault="00BB2D25" w:rsidP="00FF2359">
      <w:r w:rsidRPr="009F65C8">
        <w:t>Benzo(a)piren</w:t>
      </w:r>
      <w:r>
        <w:t xml:space="preserve"> (BAP)</w:t>
      </w:r>
      <w:r w:rsidRPr="009F65C8">
        <w:t xml:space="preserve"> należy do grupy wielopierścieniowych węglowodorów aromatycznych (WWA). Jest</w:t>
      </w:r>
      <w:r>
        <w:t> </w:t>
      </w:r>
      <w:r w:rsidRPr="009F65C8">
        <w:t>to związek trwały w środowisku, o niskiej lotności oraz rozpuszczalności w wodzie. Dodatkowo posiada zdolność do adsorpcji na powierzchni pyłów (np. PM10 i PM2.5). Do</w:t>
      </w:r>
      <w:r w:rsidR="00B70A8F">
        <w:t> </w:t>
      </w:r>
      <w:r w:rsidRPr="009F65C8">
        <w:t>naturalnych źródeł emisji można zaliczyć pożary lasów, wybuchy wulkanów, czy wypalanie traw. W wyniku działalności człowieka benzo(a)piren uwalniany jest do środowiska w wyniku emisji ze spalania paliw kopalnych oraz odpadów czy działalności przemysłu. Obecny jest również w spalinach samochodowych oraz dymie papierosowym. Benzo(a)piren może powstawać w żywności na skutek długotrwałej obróbki termicznej (np. grillowania, smażenia czy wędzenia). Wykazano, że związek ten ma silne działanie kancerogenne, mutagenne czy teratogenne (negatywnie wpływające na rozwój płodu).  Dodatkowo posiada zdolność do bi</w:t>
      </w:r>
      <w:r>
        <w:t>oak</w:t>
      </w:r>
      <w:r w:rsidRPr="009F65C8">
        <w:t xml:space="preserve">umulacji, w wyniku czego może on być kumulowany w tkankach przez dłuższy czas oraz </w:t>
      </w:r>
      <w:r>
        <w:t xml:space="preserve">może </w:t>
      </w:r>
      <w:r w:rsidRPr="009F65C8">
        <w:t>być metabolizowany do</w:t>
      </w:r>
      <w:r>
        <w:t> </w:t>
      </w:r>
      <w:r w:rsidRPr="009F65C8">
        <w:t>jeszcze bardziej reaktywnych</w:t>
      </w:r>
      <w:r>
        <w:t xml:space="preserve"> form</w:t>
      </w:r>
      <w:r w:rsidRPr="009F65C8">
        <w:t xml:space="preserve"> pochodnych.</w:t>
      </w:r>
    </w:p>
    <w:p w:rsidR="00E5535B" w:rsidRDefault="009D2243" w:rsidP="00E5535B">
      <w:pPr>
        <w:keepNext/>
      </w:pPr>
      <w:r>
        <w:rPr>
          <w:noProof/>
          <w:lang w:eastAsia="pl-PL"/>
        </w:rPr>
        <w:lastRenderedPageBreak/>
        <w:drawing>
          <wp:inline distT="0" distB="0" distL="0" distR="0">
            <wp:extent cx="5747385" cy="3331210"/>
            <wp:effectExtent l="0" t="0" r="5715"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7385" cy="3331210"/>
                    </a:xfrm>
                    <a:prstGeom prst="rect">
                      <a:avLst/>
                    </a:prstGeom>
                    <a:noFill/>
                    <a:ln>
                      <a:noFill/>
                    </a:ln>
                  </pic:spPr>
                </pic:pic>
              </a:graphicData>
            </a:graphic>
          </wp:inline>
        </w:drawing>
      </w:r>
    </w:p>
    <w:p w:rsidR="009D2243" w:rsidRDefault="00E5535B" w:rsidP="00E5535B">
      <w:pPr>
        <w:pStyle w:val="Legenda"/>
      </w:pPr>
      <w:bookmarkStart w:id="139" w:name="_Toc532369575"/>
      <w:r>
        <w:t xml:space="preserve">Rysunek </w:t>
      </w:r>
      <w:r w:rsidR="00135E52">
        <w:rPr>
          <w:noProof/>
        </w:rPr>
        <w:fldChar w:fldCharType="begin"/>
      </w:r>
      <w:r w:rsidR="00764366">
        <w:rPr>
          <w:noProof/>
        </w:rPr>
        <w:instrText xml:space="preserve"> SEQ Rysunek \* ARABIC </w:instrText>
      </w:r>
      <w:r w:rsidR="00135E52">
        <w:rPr>
          <w:noProof/>
        </w:rPr>
        <w:fldChar w:fldCharType="separate"/>
      </w:r>
      <w:r w:rsidR="00AD136C">
        <w:rPr>
          <w:noProof/>
        </w:rPr>
        <w:t>2</w:t>
      </w:r>
      <w:r w:rsidR="00135E52">
        <w:rPr>
          <w:noProof/>
        </w:rPr>
        <w:fldChar w:fldCharType="end"/>
      </w:r>
      <w:r w:rsidRPr="00AC75AD">
        <w:t>Roczna ocena jakości powietrza w roku 2017 pod względem B</w:t>
      </w:r>
      <w:r w:rsidR="005E405A">
        <w:t>A</w:t>
      </w:r>
      <w:r w:rsidRPr="00AC75AD">
        <w:t xml:space="preserve">P w granicach </w:t>
      </w:r>
      <w:r>
        <w:t>Miasta Mława</w:t>
      </w:r>
      <w:r w:rsidRPr="00AC75AD">
        <w:t>. Źródło: Modelowanie na potrzeby ocen GIOŚ.</w:t>
      </w:r>
      <w:bookmarkEnd w:id="139"/>
    </w:p>
    <w:p w:rsidR="00E5535B" w:rsidRDefault="00E5535B" w:rsidP="00FF2359">
      <w:r w:rsidRPr="00293D29">
        <w:t xml:space="preserve">Zgonie z kryteriami obowiązującymi w rocznej ocenie jakości powietrza dla pyłu zawieszonego PM10 (ochrona zdrowia), dopuszczalny poziom PM10 w powietrzu wynosi </w:t>
      </w:r>
      <w:r>
        <w:t>1n</w:t>
      </w:r>
      <w:r w:rsidRPr="00293D29">
        <w:t>g/m</w:t>
      </w:r>
      <w:r w:rsidRPr="00075385">
        <w:rPr>
          <w:vertAlign w:val="superscript"/>
        </w:rPr>
        <w:t>3</w:t>
      </w:r>
      <w:r w:rsidRPr="00293D29">
        <w:t xml:space="preserve"> w okresie uśredniania</w:t>
      </w:r>
      <w:r>
        <w:t xml:space="preserve"> roku kalendarzowego. Obszar Mławy znajdował się w strefie przekroczeń B</w:t>
      </w:r>
      <w:r w:rsidR="000E5506">
        <w:t>A</w:t>
      </w:r>
      <w:r>
        <w:t>P.</w:t>
      </w:r>
    </w:p>
    <w:p w:rsidR="00943A83" w:rsidRDefault="00943A83" w:rsidP="00C42547">
      <w:pPr>
        <w:keepNext/>
        <w:jc w:val="center"/>
      </w:pPr>
      <w:r>
        <w:rPr>
          <w:noProof/>
          <w:lang w:eastAsia="pl-PL"/>
        </w:rPr>
        <w:drawing>
          <wp:inline distT="0" distB="0" distL="0" distR="0">
            <wp:extent cx="4572000" cy="2743200"/>
            <wp:effectExtent l="0" t="0" r="0" b="0"/>
            <wp:docPr id="17" name="Wykres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594034-3C66-402B-A690-1F9ABA9D1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3A83" w:rsidRDefault="00943A83" w:rsidP="00943A83">
      <w:pPr>
        <w:pStyle w:val="Legenda"/>
      </w:pPr>
      <w:bookmarkStart w:id="140" w:name="_Toc535786969"/>
      <w:r>
        <w:t xml:space="preserve">Wykres </w:t>
      </w:r>
      <w:r w:rsidR="00135E52">
        <w:rPr>
          <w:noProof/>
        </w:rPr>
        <w:fldChar w:fldCharType="begin"/>
      </w:r>
      <w:r w:rsidR="00D86ED4">
        <w:rPr>
          <w:noProof/>
        </w:rPr>
        <w:instrText xml:space="preserve"> SEQ Wykres \* ARABIC </w:instrText>
      </w:r>
      <w:r w:rsidR="00135E52">
        <w:rPr>
          <w:noProof/>
        </w:rPr>
        <w:fldChar w:fldCharType="separate"/>
      </w:r>
      <w:r w:rsidR="00AD136C">
        <w:rPr>
          <w:noProof/>
        </w:rPr>
        <w:t>3</w:t>
      </w:r>
      <w:r w:rsidR="00135E52">
        <w:rPr>
          <w:noProof/>
        </w:rPr>
        <w:fldChar w:fldCharType="end"/>
      </w:r>
      <w:r w:rsidRPr="00E32595">
        <w:t>Statystyki wyników modelowania matematycznego imisji dla benzo(a)pirenu – średnie, średnioroczne wartości dla M</w:t>
      </w:r>
      <w:r w:rsidR="00C42547">
        <w:t>ławy</w:t>
      </w:r>
      <w:r w:rsidRPr="00E32595">
        <w:t>. Opracowanie Grupa CDE Sp. z o. o. na podstawie Roczna Ocena Jakości Powietrza w województwie mazowieckim. Raporty za lata 2015-2017</w:t>
      </w:r>
      <w:r w:rsidR="00C42547">
        <w:t>.</w:t>
      </w:r>
      <w:bookmarkEnd w:id="140"/>
    </w:p>
    <w:p w:rsidR="00C42547" w:rsidRDefault="00C42547" w:rsidP="00C42547">
      <w:r w:rsidRPr="00270000">
        <w:t>Na podstawie raportów publikowanych przez Wojewódzki Inspektorat Ochrony Środowiska w</w:t>
      </w:r>
      <w:r w:rsidR="00B70A8F">
        <w:t> </w:t>
      </w:r>
      <w:r w:rsidRPr="00270000">
        <w:t>Warszawie za lata 201</w:t>
      </w:r>
      <w:r>
        <w:t>5</w:t>
      </w:r>
      <w:r w:rsidRPr="00270000">
        <w:t>-201</w:t>
      </w:r>
      <w:r w:rsidR="006A2D56">
        <w:t>6</w:t>
      </w:r>
      <w:r w:rsidRPr="00270000">
        <w:t xml:space="preserve">, można wnioskować, że średnioroczne wartości stężenia </w:t>
      </w:r>
      <w:r w:rsidRPr="00270000">
        <w:lastRenderedPageBreak/>
        <w:t xml:space="preserve">benzo(a)pirenu </w:t>
      </w:r>
      <w:r w:rsidR="006A2D56">
        <w:t>pozostawały na podobnym poziomie</w:t>
      </w:r>
      <w:r w:rsidRPr="00270000">
        <w:t xml:space="preserve">, natomiast odnotowano </w:t>
      </w:r>
      <w:r>
        <w:t>znaczny wzrost w 2017 rok.</w:t>
      </w:r>
    </w:p>
    <w:p w:rsidR="00C42547" w:rsidRDefault="00C42547" w:rsidP="00C42547">
      <w:pPr>
        <w:rPr>
          <w:b/>
          <w:u w:val="single"/>
        </w:rPr>
      </w:pPr>
      <w:r w:rsidRPr="00F46DA7">
        <w:rPr>
          <w:b/>
          <w:u w:val="single"/>
        </w:rPr>
        <w:t>Pyły zawieszone</w:t>
      </w:r>
    </w:p>
    <w:p w:rsidR="00C42547" w:rsidRPr="00F46DA7" w:rsidRDefault="00C42547" w:rsidP="00C42547">
      <w:r>
        <w:t>P</w:t>
      </w:r>
      <w:r w:rsidRPr="00F46DA7">
        <w:t>ył</w:t>
      </w:r>
      <w:r>
        <w:t>y</w:t>
      </w:r>
      <w:r w:rsidRPr="00F46DA7">
        <w:t xml:space="preserve"> zawieszo</w:t>
      </w:r>
      <w:r>
        <w:t>nesą</w:t>
      </w:r>
      <w:r w:rsidRPr="00F46DA7">
        <w:t xml:space="preserve"> złożoną mieszaniną organicznych, nieorganicznych, stałych i ciekłych substancji, które rozpraszają się w powietrzu. W </w:t>
      </w:r>
      <w:r>
        <w:t>ich</w:t>
      </w:r>
      <w:r w:rsidRPr="00F46DA7">
        <w:t xml:space="preserve"> skład wchodzą głównie siarczany, azotany, amoniak, węgiel i</w:t>
      </w:r>
      <w:r>
        <w:t> </w:t>
      </w:r>
      <w:r w:rsidRPr="00F46DA7">
        <w:t>tlenk</w:t>
      </w:r>
      <w:r>
        <w:t>i</w:t>
      </w:r>
      <w:r w:rsidRPr="00F46DA7">
        <w:t>. Największ</w:t>
      </w:r>
      <w:r>
        <w:t>ym</w:t>
      </w:r>
      <w:r w:rsidRPr="00F46DA7">
        <w:t xml:space="preserve"> zagrożenie</w:t>
      </w:r>
      <w:r>
        <w:t>m</w:t>
      </w:r>
      <w:r w:rsidRPr="00F46DA7">
        <w:t xml:space="preserve"> dla zdrowia </w:t>
      </w:r>
      <w:r>
        <w:t>są</w:t>
      </w:r>
      <w:r w:rsidRPr="00F46DA7">
        <w:t xml:space="preserve"> cząsteczki pyłu zawieszonego, których średnica wynosi poniżej 10 mikrometrów (czyli 0,00001 metra)</w:t>
      </w:r>
      <w:r>
        <w:t xml:space="preserve">, gdyż łatwiej przenikają do płuc  i struktur je budujących. </w:t>
      </w:r>
      <w:r w:rsidRPr="00F46DA7">
        <w:t>Cząstki najgroźniejszych pyłów zawieszonych oznaczane są jako PM10 i PM2.5 – czyli odpowiednio o</w:t>
      </w:r>
      <w:r>
        <w:t> </w:t>
      </w:r>
      <w:r w:rsidRPr="00F46DA7">
        <w:t>średnicy 10 i 2,5 mikrometra.</w:t>
      </w:r>
    </w:p>
    <w:p w:rsidR="00C42547" w:rsidRDefault="00C42547" w:rsidP="00C42547">
      <w:r>
        <w:t>Długotrwała</w:t>
      </w:r>
      <w:r w:rsidRPr="00F46DA7">
        <w:t xml:space="preserve"> ekspozycja na pyły zawieszone </w:t>
      </w:r>
      <w:r>
        <w:t>związana jest</w:t>
      </w:r>
      <w:r w:rsidRPr="00F46DA7">
        <w:t xml:space="preserve"> ze zwiększonym ryzykiem rozwoju chorób układu krążenia i układu oddechowego, w tym raka płuc</w:t>
      </w:r>
      <w:r>
        <w:t>. Należy zatem dążyć a</w:t>
      </w:r>
      <w:r w:rsidRPr="00F46DA7">
        <w:t>by ich stężenie w</w:t>
      </w:r>
      <w:r>
        <w:t> </w:t>
      </w:r>
      <w:r w:rsidRPr="00F46DA7">
        <w:t>powietrzu było jak najniższe.</w:t>
      </w:r>
    </w:p>
    <w:p w:rsidR="00C42547" w:rsidRDefault="00C42547" w:rsidP="00C42547">
      <w:pPr>
        <w:keepNext/>
        <w:jc w:val="center"/>
      </w:pPr>
      <w:r>
        <w:rPr>
          <w:noProof/>
          <w:lang w:eastAsia="pl-PL"/>
        </w:rPr>
        <w:drawing>
          <wp:inline distT="0" distB="0" distL="0" distR="0">
            <wp:extent cx="4572000" cy="2743200"/>
            <wp:effectExtent l="0" t="0" r="0" b="0"/>
            <wp:docPr id="21" name="Wykres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F0052B2-8250-4EAA-841C-157A371FA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2547" w:rsidRDefault="00C42547" w:rsidP="00C42547">
      <w:pPr>
        <w:pStyle w:val="Legenda"/>
      </w:pPr>
      <w:bookmarkStart w:id="141" w:name="_Toc535786970"/>
      <w:r>
        <w:t xml:space="preserve">Wykres </w:t>
      </w:r>
      <w:r w:rsidR="00135E52">
        <w:rPr>
          <w:noProof/>
        </w:rPr>
        <w:fldChar w:fldCharType="begin"/>
      </w:r>
      <w:r w:rsidR="00D86ED4">
        <w:rPr>
          <w:noProof/>
        </w:rPr>
        <w:instrText xml:space="preserve"> SEQ Wykres \* ARABIC </w:instrText>
      </w:r>
      <w:r w:rsidR="00135E52">
        <w:rPr>
          <w:noProof/>
        </w:rPr>
        <w:fldChar w:fldCharType="separate"/>
      </w:r>
      <w:r w:rsidR="00AD136C">
        <w:rPr>
          <w:noProof/>
        </w:rPr>
        <w:t>4</w:t>
      </w:r>
      <w:r w:rsidR="00135E52">
        <w:rPr>
          <w:noProof/>
        </w:rPr>
        <w:fldChar w:fldCharType="end"/>
      </w:r>
      <w:r w:rsidRPr="00B95485">
        <w:t>Statystyki wyników modelowania matematycznego imisji dla pyłów zawieszonych PM10 i PM2.5 – średnie, średnioroczne wartości dla M</w:t>
      </w:r>
      <w:r>
        <w:t>ławy</w:t>
      </w:r>
      <w:r w:rsidRPr="00B95485">
        <w:t>. Opracowanie Grupa CDE Sp. z o. o. na podstawie Roczna Ocena Jakości Powietrza w</w:t>
      </w:r>
      <w:r w:rsidR="00B70A8F">
        <w:t> </w:t>
      </w:r>
      <w:r w:rsidRPr="00B95485">
        <w:t xml:space="preserve">województwie mazowieckim. </w:t>
      </w:r>
      <w:r w:rsidRPr="00C42547">
        <w:t>Raporty za lata 2015-2017.</w:t>
      </w:r>
      <w:bookmarkEnd w:id="141"/>
    </w:p>
    <w:p w:rsidR="007B4D71" w:rsidRDefault="007B4D71" w:rsidP="007B4D71">
      <w:r>
        <w:t>Na powyższym wykresie widoczny jest najwyższy wzrost stężenia pyłów zawieszonych w roku 2016. W roku 2017 nastąpił wzrost PM10, w porównaniu do roku poprzedniego. Natomiast średnie stężenie PM2,5 w</w:t>
      </w:r>
      <w:r w:rsidRPr="008104F9">
        <w:t xml:space="preserve"> roku 201</w:t>
      </w:r>
      <w:r>
        <w:t>6 było</w:t>
      </w:r>
      <w:r w:rsidRPr="008104F9">
        <w:t xml:space="preserve"> nieznaczn</w:t>
      </w:r>
      <w:r>
        <w:t>ieniższe w porównaniu z rokiem 2015, za to wyniki modelowania matematycznego wskazują, że w roku 2017 stężenie PM2,5 wzrosło.</w:t>
      </w:r>
    </w:p>
    <w:p w:rsidR="00C13FF9" w:rsidRPr="00270000" w:rsidRDefault="00C13FF9" w:rsidP="007B4D71"/>
    <w:p w:rsidR="009D2243" w:rsidRDefault="00E5535B" w:rsidP="00FF2359">
      <w:pPr>
        <w:rPr>
          <w:b/>
        </w:rPr>
      </w:pPr>
      <w:r>
        <w:rPr>
          <w:b/>
        </w:rPr>
        <w:t>Pył zawieszon</w:t>
      </w:r>
      <w:r w:rsidR="00C42547">
        <w:rPr>
          <w:b/>
        </w:rPr>
        <w:t>y</w:t>
      </w:r>
      <w:r w:rsidR="009D2243" w:rsidRPr="00E5535B">
        <w:rPr>
          <w:b/>
        </w:rPr>
        <w:t>PM10</w:t>
      </w:r>
    </w:p>
    <w:p w:rsidR="00556441" w:rsidRDefault="00556441" w:rsidP="00556441">
      <w:r w:rsidRPr="009F65C8">
        <w:t>Pył zawieszony jest mieszaniną niezwykle małych cząstek. Pyłem zawieszonym PM10 są wszystkie cząstki mniejsze niż 10µm</w:t>
      </w:r>
      <w:r>
        <w:t xml:space="preserve">. </w:t>
      </w:r>
      <w:r w:rsidRPr="009F65C8">
        <w:t>Zanieczyszczenia pyłowe posiadają zdolność do adsorpcji na swojej powierzchni innych, bardzo szkodliwych zanieczyszczeń (dioksyn i furanów, metali ciężkich, czy wielopierścieniowych węglowodorów aromatycznych, w tym B</w:t>
      </w:r>
      <w:r w:rsidR="005E405A">
        <w:t>AP</w:t>
      </w:r>
      <w:r w:rsidRPr="009F65C8">
        <w:t>). Pyły zawieszone przede wszystkim emitowane są</w:t>
      </w:r>
      <w:r>
        <w:t> </w:t>
      </w:r>
      <w:r w:rsidRPr="009F65C8">
        <w:t xml:space="preserve">bezpośrednio z takich źródeł jak pożary, unoszenia się pyłu z placów budowy, dróg niepokrytych asfaltem, procesów spalania. Pył zawieszony ma bardzo negatywne oddziaływanie na zdrowie ludzkie. </w:t>
      </w:r>
    </w:p>
    <w:p w:rsidR="00556441" w:rsidRPr="00556441" w:rsidRDefault="00556441" w:rsidP="00FF2359">
      <w:r>
        <w:t>Pył ten może osiadać na ścianach pęcherzyków płucnych, utrudniać wymianę gazową, powodować podrażnienia naskórka i śluzówki. Sprzyja także zapaleniu górnych dróg oddechowych, wywołując alergie, astmę, nowotwory płuc, gardła oraz krtani. Pył jest również zanieczyszczeniem transgranicznym i jest transportowany na odległość do 1000 km. Pył tej wielkości jest usuwany z atmosfery przez sedymentację oraz opady.</w:t>
      </w:r>
    </w:p>
    <w:p w:rsidR="009D2243" w:rsidRDefault="009D2243" w:rsidP="009D2243">
      <w:pPr>
        <w:keepNext/>
      </w:pPr>
      <w:r>
        <w:rPr>
          <w:noProof/>
          <w:lang w:eastAsia="pl-PL"/>
        </w:rPr>
        <w:drawing>
          <wp:inline distT="0" distB="0" distL="0" distR="0">
            <wp:extent cx="5759450" cy="33718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371850"/>
                    </a:xfrm>
                    <a:prstGeom prst="rect">
                      <a:avLst/>
                    </a:prstGeom>
                    <a:noFill/>
                    <a:ln>
                      <a:noFill/>
                    </a:ln>
                  </pic:spPr>
                </pic:pic>
              </a:graphicData>
            </a:graphic>
          </wp:inline>
        </w:drawing>
      </w:r>
    </w:p>
    <w:p w:rsidR="00350E1F" w:rsidRDefault="009D2243" w:rsidP="009D2243">
      <w:pPr>
        <w:pStyle w:val="Legenda"/>
      </w:pPr>
      <w:bookmarkStart w:id="142" w:name="_Toc532369576"/>
      <w:r>
        <w:t xml:space="preserve">Rysunek </w:t>
      </w:r>
      <w:r w:rsidR="00135E52">
        <w:rPr>
          <w:noProof/>
        </w:rPr>
        <w:fldChar w:fldCharType="begin"/>
      </w:r>
      <w:r w:rsidR="00764366">
        <w:rPr>
          <w:noProof/>
        </w:rPr>
        <w:instrText xml:space="preserve"> SEQ Rysunek \* ARABIC </w:instrText>
      </w:r>
      <w:r w:rsidR="00135E52">
        <w:rPr>
          <w:noProof/>
        </w:rPr>
        <w:fldChar w:fldCharType="separate"/>
      </w:r>
      <w:r w:rsidR="00AD136C">
        <w:rPr>
          <w:noProof/>
        </w:rPr>
        <w:t>3</w:t>
      </w:r>
      <w:r w:rsidR="00135E52">
        <w:rPr>
          <w:noProof/>
        </w:rPr>
        <w:fldChar w:fldCharType="end"/>
      </w:r>
      <w:r w:rsidRPr="005C4CB8">
        <w:t xml:space="preserve">Roczna ocena jakości powietrza w roku 2017 pod względem PM10 (36 Max) w granicach </w:t>
      </w:r>
      <w:r w:rsidR="00E5535B">
        <w:t>Miasta Mława</w:t>
      </w:r>
      <w:r w:rsidRPr="005C4CB8">
        <w:t>. Źródło: Modelowanie na potrzeby ocen GIOŚ.</w:t>
      </w:r>
      <w:bookmarkEnd w:id="142"/>
    </w:p>
    <w:p w:rsidR="00E5535B" w:rsidRDefault="009D2243" w:rsidP="009D2243">
      <w:r>
        <w:t>Zgonie z kryteriami obowiązującymi w rocznej ocenie jakości powietrza dla pyłu zawieszonego PM10 (ochrona zdrowia), dopuszczalny poziom PM10 w powietrzu wynosi 50 µg/m</w:t>
      </w:r>
      <w:r w:rsidRPr="00075385">
        <w:rPr>
          <w:vertAlign w:val="superscript"/>
        </w:rPr>
        <w:t>3</w:t>
      </w:r>
      <w:r>
        <w:t xml:space="preserve"> w 24-</w:t>
      </w:r>
      <w:r>
        <w:lastRenderedPageBreak/>
        <w:t xml:space="preserve">godzinnym okresie uśredniania i 40 µg/m3 w rocznym okresie uśredniania. Część południowa miasta w 2017 roku znajdowała się w wartościach przekroczeń PM10, natomiast na obrzeżach i w północnych  częściach średnia roczna mieściła się w granicach dopuszczalnej normy. </w:t>
      </w:r>
    </w:p>
    <w:p w:rsidR="009D2243" w:rsidRDefault="00E5535B" w:rsidP="009D2243">
      <w:pPr>
        <w:rPr>
          <w:b/>
          <w:bCs/>
          <w:u w:val="single"/>
        </w:rPr>
      </w:pPr>
      <w:r w:rsidRPr="009F65C8">
        <w:rPr>
          <w:b/>
          <w:bCs/>
          <w:u w:val="single"/>
        </w:rPr>
        <w:t>Pył</w:t>
      </w:r>
      <w:r>
        <w:rPr>
          <w:b/>
          <w:bCs/>
          <w:u w:val="single"/>
        </w:rPr>
        <w:t xml:space="preserve">y </w:t>
      </w:r>
      <w:r w:rsidRPr="009F65C8">
        <w:rPr>
          <w:b/>
          <w:bCs/>
          <w:u w:val="single"/>
        </w:rPr>
        <w:t>zawieszon</w:t>
      </w:r>
      <w:r>
        <w:rPr>
          <w:b/>
          <w:bCs/>
          <w:u w:val="single"/>
        </w:rPr>
        <w:t>e</w:t>
      </w:r>
      <w:r w:rsidRPr="009F65C8">
        <w:rPr>
          <w:b/>
          <w:bCs/>
          <w:u w:val="single"/>
        </w:rPr>
        <w:t>PM2</w:t>
      </w:r>
      <w:r>
        <w:rPr>
          <w:b/>
          <w:bCs/>
          <w:u w:val="single"/>
        </w:rPr>
        <w:t>.</w:t>
      </w:r>
      <w:r w:rsidRPr="009F65C8">
        <w:rPr>
          <w:b/>
          <w:bCs/>
          <w:u w:val="single"/>
        </w:rPr>
        <w:t>5</w:t>
      </w:r>
    </w:p>
    <w:p w:rsidR="00556441" w:rsidRPr="009D2243" w:rsidRDefault="00556441" w:rsidP="009D2243">
      <w:r>
        <w:t xml:space="preserve">Jest to rodzaj mikroskopijnego pyłu, gdzie cząstki </w:t>
      </w:r>
      <w:r w:rsidRPr="009F65C8">
        <w:t xml:space="preserve">osiągają mniejsze rozmiary niż 2,5 µm. Ze względu na swoje mikroskopijne rozmiary pył PM2,5 posiada zdolność przedostawania się głęboko do płuc </w:t>
      </w:r>
      <w:r>
        <w:t xml:space="preserve">–do </w:t>
      </w:r>
      <w:r w:rsidRPr="009F65C8">
        <w:t>pęcherzyków płucnych, powodując ich trwałe uszkodzenie oraz do krwi.Ze względu na swoje małe rozmiary, z łatwością może przedostawać się do płuc, powodując zatrucie, zapalenia górnych dróg oddechowych, pylicę, nowotwory płuc, choroby alergiczne i</w:t>
      </w:r>
      <w:r w:rsidR="001E5C9E">
        <w:t> </w:t>
      </w:r>
      <w:r w:rsidRPr="009F65C8">
        <w:t>astmę.</w:t>
      </w:r>
      <w:r>
        <w:t xml:space="preserve"> Wzrost stężenia pyłu PM2.5 może spowodować wzrost ryzyka nagłych wypadków wymagających hospitalizacji z powodu problemów z krążeniem i oddychaniem. Pył jest również zanieczyszczeniem transgranicznym i jest transportowany na odległość do 2500 km. Pył drobny może pozostawać w atmosferze kilka dni lub tygodni.</w:t>
      </w:r>
    </w:p>
    <w:p w:rsidR="00E5535B" w:rsidRDefault="009D2243" w:rsidP="00E5535B">
      <w:pPr>
        <w:keepNext/>
      </w:pPr>
      <w:r>
        <w:rPr>
          <w:noProof/>
          <w:lang w:eastAsia="pl-PL"/>
        </w:rPr>
        <w:drawing>
          <wp:inline distT="0" distB="0" distL="0" distR="0">
            <wp:extent cx="5753100" cy="36322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632200"/>
                    </a:xfrm>
                    <a:prstGeom prst="rect">
                      <a:avLst/>
                    </a:prstGeom>
                    <a:noFill/>
                    <a:ln>
                      <a:noFill/>
                    </a:ln>
                  </pic:spPr>
                </pic:pic>
              </a:graphicData>
            </a:graphic>
          </wp:inline>
        </w:drawing>
      </w:r>
    </w:p>
    <w:p w:rsidR="005635A5" w:rsidRDefault="00E5535B" w:rsidP="00E5535B">
      <w:pPr>
        <w:pStyle w:val="Legenda"/>
      </w:pPr>
      <w:bookmarkStart w:id="143" w:name="_Toc532369577"/>
      <w:r>
        <w:t xml:space="preserve">Rysunek </w:t>
      </w:r>
      <w:r w:rsidR="00135E52">
        <w:rPr>
          <w:noProof/>
        </w:rPr>
        <w:fldChar w:fldCharType="begin"/>
      </w:r>
      <w:r w:rsidR="00764366">
        <w:rPr>
          <w:noProof/>
        </w:rPr>
        <w:instrText xml:space="preserve"> SEQ Rysunek \* ARABIC </w:instrText>
      </w:r>
      <w:r w:rsidR="00135E52">
        <w:rPr>
          <w:noProof/>
        </w:rPr>
        <w:fldChar w:fldCharType="separate"/>
      </w:r>
      <w:r w:rsidR="00AD136C">
        <w:rPr>
          <w:noProof/>
        </w:rPr>
        <w:t>4</w:t>
      </w:r>
      <w:r w:rsidR="00135E52">
        <w:rPr>
          <w:noProof/>
        </w:rPr>
        <w:fldChar w:fldCharType="end"/>
      </w:r>
      <w:r w:rsidRPr="005D61EB">
        <w:t>Roczna ocena jakości powietrza w roku 2017 pod względem PM</w:t>
      </w:r>
      <w:r>
        <w:t>2,5</w:t>
      </w:r>
      <w:r w:rsidRPr="005D61EB">
        <w:t xml:space="preserve"> w granicach </w:t>
      </w:r>
      <w:r>
        <w:t>Miasta Mława.</w:t>
      </w:r>
      <w:r w:rsidRPr="005D61EB">
        <w:t xml:space="preserve"> Źródło: Modelowanie na potrzeby ocen GIOŚ.</w:t>
      </w:r>
      <w:bookmarkEnd w:id="143"/>
    </w:p>
    <w:p w:rsidR="005635A5" w:rsidRDefault="00E5535B" w:rsidP="00FF2359">
      <w:r>
        <w:t xml:space="preserve">Na obszarze Miasta Mławy w 2017 występowały przekroczenia PM2,5. </w:t>
      </w:r>
      <w:r w:rsidRPr="00293D29">
        <w:t xml:space="preserve">Zgonie z kryteriami obowiązującymi w rocznej ocenie jakości powietrza dla pyłu zawieszonego PM10 (ochrona </w:t>
      </w:r>
      <w:r w:rsidRPr="00293D29">
        <w:lastRenderedPageBreak/>
        <w:t>zdrowia), dopuszczalny poziom PM</w:t>
      </w:r>
      <w:r w:rsidR="006A2D56">
        <w:t>2,5</w:t>
      </w:r>
      <w:r w:rsidRPr="00293D29">
        <w:t xml:space="preserve"> w powietrzu wynosi </w:t>
      </w:r>
      <w:r>
        <w:t>25</w:t>
      </w:r>
      <w:r w:rsidRPr="00293D29">
        <w:t xml:space="preserve"> µg/m</w:t>
      </w:r>
      <w:r w:rsidRPr="00C329DD">
        <w:rPr>
          <w:vertAlign w:val="superscript"/>
        </w:rPr>
        <w:t>3</w:t>
      </w:r>
      <w:r>
        <w:t>w I fazie oraz 20</w:t>
      </w:r>
      <w:r w:rsidRPr="00293D29">
        <w:t>µg/m</w:t>
      </w:r>
      <w:r w:rsidRPr="00C329DD">
        <w:rPr>
          <w:vertAlign w:val="superscript"/>
        </w:rPr>
        <w:t>3</w:t>
      </w:r>
      <w:r>
        <w:t xml:space="preserve"> w</w:t>
      </w:r>
      <w:r w:rsidR="001E5C9E">
        <w:t> </w:t>
      </w:r>
      <w:r>
        <w:t xml:space="preserve">II fazie, </w:t>
      </w:r>
      <w:r w:rsidRPr="00293D29">
        <w:t>w okresie uśredniania</w:t>
      </w:r>
      <w:r>
        <w:t xml:space="preserve"> roku kalendarzowego</w:t>
      </w:r>
      <w:r w:rsidRPr="00293D29">
        <w:t xml:space="preserve">. </w:t>
      </w:r>
    </w:p>
    <w:p w:rsidR="00C13FF9" w:rsidRDefault="00C13FF9" w:rsidP="00FF2359"/>
    <w:p w:rsidR="00FF2359" w:rsidRDefault="00FF2359" w:rsidP="00FF2359">
      <w:pPr>
        <w:pStyle w:val="Styl2"/>
        <w:spacing w:line="360" w:lineRule="auto"/>
        <w:rPr>
          <w:szCs w:val="32"/>
        </w:rPr>
      </w:pPr>
      <w:bookmarkStart w:id="144" w:name="_Toc535233342"/>
      <w:r w:rsidRPr="00716123">
        <w:t>5.</w:t>
      </w:r>
      <w:r>
        <w:t>3</w:t>
      </w:r>
      <w:r w:rsidRPr="00D96329">
        <w:rPr>
          <w:szCs w:val="32"/>
        </w:rPr>
        <w:t xml:space="preserve">Zanieczyszczenia powietrza w </w:t>
      </w:r>
      <w:r>
        <w:rPr>
          <w:szCs w:val="32"/>
        </w:rPr>
        <w:t>Mław</w:t>
      </w:r>
      <w:r w:rsidR="0017089A">
        <w:rPr>
          <w:szCs w:val="32"/>
        </w:rPr>
        <w:t>ie</w:t>
      </w:r>
      <w:r w:rsidRPr="00D96329">
        <w:rPr>
          <w:szCs w:val="32"/>
        </w:rPr>
        <w:t xml:space="preserve"> na tle województwa mazowieckiego</w:t>
      </w:r>
      <w:bookmarkEnd w:id="133"/>
      <w:bookmarkEnd w:id="134"/>
      <w:bookmarkEnd w:id="135"/>
      <w:bookmarkEnd w:id="136"/>
      <w:bookmarkEnd w:id="144"/>
    </w:p>
    <w:p w:rsidR="001518D6" w:rsidRDefault="00FF2359" w:rsidP="00D86ED4">
      <w:r w:rsidRPr="00D86ED4">
        <w:t xml:space="preserve">Na terenie obszaru objętego działaniami naprawczymi nie ma </w:t>
      </w:r>
      <w:r w:rsidR="008329EC" w:rsidRPr="00D86ED4">
        <w:t xml:space="preserve">obecnie </w:t>
      </w:r>
      <w:r w:rsidRPr="00D86ED4">
        <w:t xml:space="preserve">instalacji do stałego pomiaru emisji zanieczyszczeń atmosferycznych. </w:t>
      </w:r>
    </w:p>
    <w:p w:rsidR="00D86ED4" w:rsidRPr="00D86ED4" w:rsidRDefault="00D86ED4" w:rsidP="00D86ED4">
      <w:r>
        <w:t xml:space="preserve">Poniżej przedstawione zostały mapy rozkładu stężeń dla </w:t>
      </w:r>
      <w:r w:rsidRPr="00B35540">
        <w:t>benzo(a)pirenu</w:t>
      </w:r>
      <w:r>
        <w:t>, PM10, PM2.5, ozonu, dwutlenku azotu i dwutlenku siarki. Oznaczone są</w:t>
      </w:r>
      <w:r w:rsidRPr="00B35540">
        <w:t xml:space="preserve"> stężenia roczne w 2017 r. </w:t>
      </w:r>
      <w:r>
        <w:t>według„</w:t>
      </w:r>
      <w:r w:rsidRPr="00B35540">
        <w:t>Roczn</w:t>
      </w:r>
      <w:r>
        <w:t>ej</w:t>
      </w:r>
      <w:r w:rsidRPr="00B35540">
        <w:t xml:space="preserve"> Ocena Jakości Powietrza w województwie mazowieckim. Raport za rok 2017</w:t>
      </w:r>
      <w:r>
        <w:t>”, wraz z</w:t>
      </w:r>
      <w:r w:rsidR="001E5C9E">
        <w:t> </w:t>
      </w:r>
      <w:r>
        <w:t>zaznaczonym obszarem Miasta Mława.</w:t>
      </w:r>
    </w:p>
    <w:p w:rsidR="002236DD" w:rsidRDefault="002236DD" w:rsidP="002236DD">
      <w:pPr>
        <w:keepNext/>
      </w:pPr>
      <w:r>
        <w:rPr>
          <w:noProof/>
          <w:lang w:eastAsia="pl-PL"/>
        </w:rPr>
        <w:lastRenderedPageBreak/>
        <w:drawing>
          <wp:inline distT="0" distB="0" distL="0" distR="0">
            <wp:extent cx="5759450" cy="58356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5835650"/>
                    </a:xfrm>
                    <a:prstGeom prst="rect">
                      <a:avLst/>
                    </a:prstGeom>
                    <a:noFill/>
                    <a:ln>
                      <a:noFill/>
                    </a:ln>
                  </pic:spPr>
                </pic:pic>
              </a:graphicData>
            </a:graphic>
          </wp:inline>
        </w:drawing>
      </w:r>
    </w:p>
    <w:p w:rsidR="001518D6" w:rsidRDefault="002236DD" w:rsidP="002236DD">
      <w:pPr>
        <w:pStyle w:val="Legenda"/>
      </w:pPr>
      <w:bookmarkStart w:id="145" w:name="_Toc532369578"/>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5</w:t>
      </w:r>
      <w:r w:rsidR="00135E52">
        <w:rPr>
          <w:noProof/>
        </w:rPr>
        <w:fldChar w:fldCharType="end"/>
      </w:r>
      <w:r w:rsidRPr="00B35540">
        <w:t>Rozkład stężeń benzo(a)pirenu – stężenia roczne w 2017 r. za: Roczna Ocena Jakości Powietrza w województwie mazowieckim. Raport za rok 2017.</w:t>
      </w:r>
      <w:bookmarkEnd w:id="145"/>
    </w:p>
    <w:p w:rsidR="003E6159" w:rsidRDefault="003E6159" w:rsidP="003E6159">
      <w:r>
        <w:t>W Młaiwe leżącej w strefie mazowieckiej, występowało wysokie narażenie na obecność benzo(a)pirenu (BAP) w powietrzu atmosferycznym. Stężenie benzo(a)pirenu wynosiło w</w:t>
      </w:r>
      <w:r w:rsidR="001E5C9E">
        <w:t> </w:t>
      </w:r>
      <w:r>
        <w:t>granicach 2,01-3,00 ng/</w:t>
      </w:r>
      <w:r w:rsidRPr="00D507CD">
        <w:t>m</w:t>
      </w:r>
      <w:r w:rsidRPr="00D507CD">
        <w:rPr>
          <w:vertAlign w:val="superscript"/>
        </w:rPr>
        <w:t>3</w:t>
      </w:r>
      <w:r w:rsidRPr="00D507CD">
        <w:t>,</w:t>
      </w:r>
      <w:r>
        <w:t xml:space="preserve"> miejscami osiągając wyższe stężenia i </w:t>
      </w:r>
      <w:r w:rsidRPr="00D507CD">
        <w:t xml:space="preserve"> malejąc stopniowo na obrzeżach do wartości stężeń wahających się w granicach 1</w:t>
      </w:r>
      <w:r>
        <w:t>,50</w:t>
      </w:r>
      <w:r w:rsidRPr="00D507CD">
        <w:t>-</w:t>
      </w:r>
      <w:r>
        <w:t>2,00</w:t>
      </w:r>
      <w:r w:rsidRPr="00D507CD">
        <w:t xml:space="preserve"> ng/</w:t>
      </w:r>
      <w:r>
        <w:t>m</w:t>
      </w:r>
      <w:r w:rsidRPr="00B11147">
        <w:rPr>
          <w:vertAlign w:val="superscript"/>
        </w:rPr>
        <w:t>3</w:t>
      </w:r>
      <w:r>
        <w:t>.</w:t>
      </w:r>
    </w:p>
    <w:p w:rsidR="00633A37" w:rsidRPr="009F65C8" w:rsidRDefault="00633A37" w:rsidP="00633A37">
      <w:pPr>
        <w:rPr>
          <w:b/>
          <w:bCs/>
          <w:u w:val="single"/>
        </w:rPr>
      </w:pPr>
      <w:bookmarkStart w:id="146" w:name="_Hlk530728596"/>
      <w:r w:rsidRPr="009F65C8">
        <w:rPr>
          <w:b/>
          <w:bCs/>
          <w:u w:val="single"/>
        </w:rPr>
        <w:t xml:space="preserve">Pył zawieszony PM10 </w:t>
      </w:r>
    </w:p>
    <w:p w:rsidR="00633A37" w:rsidRDefault="00633A37" w:rsidP="00633A37">
      <w:r w:rsidRPr="009F65C8">
        <w:t>Pył zawieszony jest mieszaniną niezwykle małych cząstek. Pyłem zawieszonym PM10 są wszystkie cząstki mniejsze niż 10µm</w:t>
      </w:r>
      <w:r>
        <w:t xml:space="preserve">. </w:t>
      </w:r>
      <w:r w:rsidRPr="009F65C8">
        <w:t xml:space="preserve">Zanieczyszczenia pyłowe posiadają zdolność do adsorpcji na swojej powierzchni innych, bardzo szkodliwych zanieczyszczeń (dioksyn i furanów, metali </w:t>
      </w:r>
      <w:r w:rsidRPr="009F65C8">
        <w:lastRenderedPageBreak/>
        <w:t>ciężkich, czy wielopierścieniowych węglowodorów aromatycznych, w tym B</w:t>
      </w:r>
      <w:r w:rsidR="000E5506">
        <w:t>A</w:t>
      </w:r>
      <w:r w:rsidR="00DE09A6">
        <w:t>P</w:t>
      </w:r>
      <w:r w:rsidRPr="009F65C8">
        <w:t>). Pyły zawieszone przede wszystkim emitowane są</w:t>
      </w:r>
      <w:r>
        <w:t> </w:t>
      </w:r>
      <w:r w:rsidRPr="009F65C8">
        <w:t xml:space="preserve">bezpośrednio z takich źródeł jak pożary, unoszenia się pyłu z placów budowy, dróg niepokrytych asfaltem, procesów spalania. Pył zawieszony ma bardzo negatywne oddziaływanie na zdrowie ludzkie. </w:t>
      </w:r>
    </w:p>
    <w:p w:rsidR="00633A37" w:rsidRDefault="00633A37" w:rsidP="00633A37">
      <w:r>
        <w:t>Pył ten może osiadać na ścianach pęcherzyków płucnych, utrudniać wymianę gazową, powodować podrażnienia naskórka i śluzówki. Sprzyja także zapaleniu górnych dróg oddechowych, wywołując alergie, astmę, nowotwory płuc, gardła oraz krtani. Pył jest również zanieczyszczeniem transgranicznym i jest transportowany na odległość do 1000 km. Pył tej wielkości jest usuwany z atmosfery przez sedymentację oraz opady.</w:t>
      </w:r>
    </w:p>
    <w:bookmarkEnd w:id="146"/>
    <w:p w:rsidR="00633A37" w:rsidRDefault="00633A37" w:rsidP="00633A37">
      <w:pPr>
        <w:keepNext/>
      </w:pPr>
      <w:r>
        <w:rPr>
          <w:noProof/>
          <w:lang w:eastAsia="pl-PL"/>
        </w:rPr>
        <w:lastRenderedPageBreak/>
        <w:drawing>
          <wp:inline distT="0" distB="0" distL="0" distR="0">
            <wp:extent cx="5759450" cy="58801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5880100"/>
                    </a:xfrm>
                    <a:prstGeom prst="rect">
                      <a:avLst/>
                    </a:prstGeom>
                    <a:noFill/>
                    <a:ln>
                      <a:noFill/>
                    </a:ln>
                  </pic:spPr>
                </pic:pic>
              </a:graphicData>
            </a:graphic>
          </wp:inline>
        </w:drawing>
      </w:r>
    </w:p>
    <w:p w:rsidR="003E6159" w:rsidRDefault="00633A37" w:rsidP="00633A37">
      <w:pPr>
        <w:pStyle w:val="Legenda"/>
      </w:pPr>
      <w:bookmarkStart w:id="147" w:name="_Toc532369579"/>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6</w:t>
      </w:r>
      <w:r w:rsidR="00135E52">
        <w:rPr>
          <w:noProof/>
        </w:rPr>
        <w:fldChar w:fldCharType="end"/>
      </w:r>
      <w:r w:rsidRPr="00F41965">
        <w:t>Rozkład stężeń PM10-24h (36-te maksimum w roku) na obszarze województwa mazowieckiego, cel: ochrona zdrowia (rok 2017). Za: raport za rok 2017.</w:t>
      </w:r>
      <w:bookmarkEnd w:id="147"/>
    </w:p>
    <w:p w:rsidR="00FB2878" w:rsidRDefault="00FB2878" w:rsidP="00FB2878">
      <w:r>
        <w:t>Powyższa mapa ilustruje, że centralna część miasta w 2017 położona była w strefie stężenia dobowego 40,50-65,00µg/m</w:t>
      </w:r>
      <w:r w:rsidRPr="005F7782">
        <w:rPr>
          <w:vertAlign w:val="superscript"/>
        </w:rPr>
        <w:t>3</w:t>
      </w:r>
      <w:r>
        <w:t>. Obrzeża miasta charakteryzowały się niższymi 36 maksymalnymi stężeniami dobowymi PM10 (ok 45,01-48,00µg/m</w:t>
      </w:r>
      <w:r w:rsidRPr="005F7782">
        <w:rPr>
          <w:vertAlign w:val="superscript"/>
        </w:rPr>
        <w:t>3</w:t>
      </w:r>
      <w:r w:rsidRPr="00FB2878">
        <w:t xml:space="preserve">) </w:t>
      </w:r>
      <w:r>
        <w:t>w Raporcie WIOŚ w</w:t>
      </w:r>
      <w:r w:rsidR="001E5C9E">
        <w:t> </w:t>
      </w:r>
      <w:r>
        <w:t>Warszawie za rok 2017.</w:t>
      </w:r>
    </w:p>
    <w:p w:rsidR="00FB2878" w:rsidRDefault="00FB2878" w:rsidP="00FB2878">
      <w:pPr>
        <w:keepNext/>
      </w:pPr>
      <w:r>
        <w:rPr>
          <w:noProof/>
          <w:lang w:eastAsia="pl-PL"/>
        </w:rPr>
        <w:lastRenderedPageBreak/>
        <w:drawing>
          <wp:inline distT="0" distB="0" distL="0" distR="0">
            <wp:extent cx="5759450" cy="591820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5918200"/>
                    </a:xfrm>
                    <a:prstGeom prst="rect">
                      <a:avLst/>
                    </a:prstGeom>
                    <a:noFill/>
                    <a:ln>
                      <a:noFill/>
                    </a:ln>
                  </pic:spPr>
                </pic:pic>
              </a:graphicData>
            </a:graphic>
          </wp:inline>
        </w:drawing>
      </w:r>
    </w:p>
    <w:p w:rsidR="00FB2878" w:rsidRDefault="00FB2878" w:rsidP="00FB2878">
      <w:pPr>
        <w:pStyle w:val="Legenda"/>
      </w:pPr>
      <w:bookmarkStart w:id="148" w:name="_Toc532369580"/>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7</w:t>
      </w:r>
      <w:r w:rsidR="00135E52">
        <w:rPr>
          <w:noProof/>
        </w:rPr>
        <w:fldChar w:fldCharType="end"/>
      </w:r>
      <w:r w:rsidRPr="00B35EC7">
        <w:t>Rozkład stężeń PM2,5-rok na obszarze województwa mazowieckiego, cel: ochrona zdrowia (rok 2017) (źródło: GIOŚ) za: Roczna Ocena Jakości Powietrza w województwie mazowieckim. Raport za rok 2017.</w:t>
      </w:r>
      <w:bookmarkEnd w:id="148"/>
    </w:p>
    <w:p w:rsidR="00FB2878" w:rsidRDefault="00FB2878" w:rsidP="00FB2878">
      <w:r>
        <w:t xml:space="preserve">Średnie roczne stężenia pyłu zawieszonego PM2.5 w Mławie kształtowały się w przedziale stref obejmujących 17.50 - 35.00 </w:t>
      </w:r>
      <w:r w:rsidRPr="00C75483">
        <w:t>ug/m</w:t>
      </w:r>
      <w:r w:rsidRPr="00FD28E2">
        <w:rPr>
          <w:vertAlign w:val="superscript"/>
        </w:rPr>
        <w:t>3</w:t>
      </w:r>
      <w:r>
        <w:t>. Najwyższe stężenia występowały w centralnej części i sukcesywnie zmniejszają się na jego obrzeżach.</w:t>
      </w:r>
    </w:p>
    <w:p w:rsidR="00FB2878" w:rsidRPr="009F65C8" w:rsidRDefault="00FB2878" w:rsidP="00FB2878">
      <w:pPr>
        <w:rPr>
          <w:b/>
          <w:bCs/>
          <w:u w:val="single"/>
        </w:rPr>
      </w:pPr>
      <w:r w:rsidRPr="009F65C8">
        <w:rPr>
          <w:b/>
          <w:bCs/>
          <w:u w:val="single"/>
        </w:rPr>
        <w:t>Ozon</w:t>
      </w:r>
    </w:p>
    <w:p w:rsidR="00FB2878" w:rsidRDefault="00FB2878" w:rsidP="00FB2878">
      <w:r w:rsidRPr="009F65C8">
        <w:t>Ozon (O</w:t>
      </w:r>
      <w:r w:rsidRPr="007E2FFA">
        <w:rPr>
          <w:vertAlign w:val="subscript"/>
        </w:rPr>
        <w:t>3</w:t>
      </w:r>
      <w:r w:rsidRPr="009F65C8">
        <w:t xml:space="preserve">) to odmiana tlenu o cząsteczce trójatomowej. Jest to drażniący gaz o barwie bladoniebieskiej i charakterystycznej woni. Ozon obecny w warstwie atmosfery przy powierzchni ma negatywny wpływ na zdrowie ludzkie i roślinność. Jest jednym ze składników smogu fotochemicznego, powstającego głównie latem przy wysokich temperaturach i </w:t>
      </w:r>
      <w:r w:rsidRPr="009F65C8">
        <w:lastRenderedPageBreak/>
        <w:t>ciśnieniu w miastach o bardzo dużym ruchu samochodowym. Ozon może powodować chwilowe zaburzenia funkcji oddechowych, szybki i płytki oddech oraz bóle głowy, zwłaszcza przy większym wysiłku fizycznym. Wysokie stężenia ozonu mogą powodować podrażnienia górnego odcinka dróg oddechowych, kaszel i napady duszności. Możliwe są</w:t>
      </w:r>
      <w:r>
        <w:t> </w:t>
      </w:r>
      <w:r w:rsidRPr="009F65C8">
        <w:t>podrażnienia i swędzenie oczu, bóle klatki piersiowej, podrażnienia śluzówki, a także choroby dróg oddechowych (nosa, gardła i płuc)</w:t>
      </w:r>
      <w:r>
        <w:t xml:space="preserve">, w miesiącach letnich </w:t>
      </w:r>
      <w:r w:rsidRPr="009F65C8">
        <w:t>przy wysokich temperaturach i ciśnieniu</w:t>
      </w:r>
      <w:r>
        <w:t>, w sytuacji dużego ruchu samochodowego.</w:t>
      </w:r>
    </w:p>
    <w:p w:rsidR="00FB2878" w:rsidRDefault="00FB2878" w:rsidP="00FB2878">
      <w:pPr>
        <w:keepNext/>
      </w:pPr>
      <w:r>
        <w:rPr>
          <w:noProof/>
          <w:lang w:eastAsia="pl-PL"/>
        </w:rPr>
        <w:drawing>
          <wp:inline distT="0" distB="0" distL="0" distR="0">
            <wp:extent cx="5759450" cy="559435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5594350"/>
                    </a:xfrm>
                    <a:prstGeom prst="rect">
                      <a:avLst/>
                    </a:prstGeom>
                    <a:noFill/>
                    <a:ln>
                      <a:noFill/>
                    </a:ln>
                  </pic:spPr>
                </pic:pic>
              </a:graphicData>
            </a:graphic>
          </wp:inline>
        </w:drawing>
      </w:r>
    </w:p>
    <w:p w:rsidR="00FB2878" w:rsidRDefault="00FB2878" w:rsidP="00FB2878">
      <w:pPr>
        <w:pStyle w:val="Legenda"/>
      </w:pPr>
      <w:bookmarkStart w:id="149" w:name="_Toc532369581"/>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8</w:t>
      </w:r>
      <w:r w:rsidR="00135E52">
        <w:rPr>
          <w:noProof/>
        </w:rPr>
        <w:fldChar w:fldCharType="end"/>
      </w:r>
      <w:r w:rsidRPr="0030376D">
        <w:t>Rozkład liczby dni z przekroczeniem poziomu docelowego O3 (120 μg/m3) na obszarze województwa mazowieckiego cel: ochrona zdrowia (poziom docelowy – średnia z lat 2015-2017) (źródło: GIOŚ). Raport za rok 2017.</w:t>
      </w:r>
      <w:bookmarkEnd w:id="149"/>
    </w:p>
    <w:p w:rsidR="00FB2878" w:rsidRDefault="00FB2878" w:rsidP="00FB2878">
      <w:r w:rsidRPr="005944B6">
        <w:t xml:space="preserve">Na przełomie lat 2015-2017 w </w:t>
      </w:r>
      <w:r>
        <w:t>Mławie</w:t>
      </w:r>
      <w:r w:rsidRPr="005944B6">
        <w:t xml:space="preserve"> odnotowano dopuszczalne dobowe stężenia ozonu (120 ug/m</w:t>
      </w:r>
      <w:r w:rsidRPr="00FB2878">
        <w:rPr>
          <w:vertAlign w:val="superscript"/>
        </w:rPr>
        <w:t>3</w:t>
      </w:r>
      <w:r w:rsidRPr="005944B6">
        <w:t xml:space="preserve">) średnio dla </w:t>
      </w:r>
      <w:r>
        <w:t>6-10</w:t>
      </w:r>
      <w:r w:rsidRPr="005944B6">
        <w:t xml:space="preserve"> dni w roku.</w:t>
      </w:r>
    </w:p>
    <w:p w:rsidR="00FB2878" w:rsidRPr="009F65C8" w:rsidRDefault="00FB2878" w:rsidP="00FB2878">
      <w:pPr>
        <w:rPr>
          <w:b/>
          <w:bCs/>
          <w:u w:val="single"/>
        </w:rPr>
      </w:pPr>
      <w:r>
        <w:rPr>
          <w:b/>
          <w:bCs/>
          <w:u w:val="single"/>
        </w:rPr>
        <w:lastRenderedPageBreak/>
        <w:t>Tlenki</w:t>
      </w:r>
      <w:r w:rsidRPr="009F65C8">
        <w:rPr>
          <w:b/>
          <w:bCs/>
          <w:u w:val="single"/>
        </w:rPr>
        <w:t xml:space="preserve"> azotu</w:t>
      </w:r>
    </w:p>
    <w:p w:rsidR="00FB2878" w:rsidRDefault="00FB2878" w:rsidP="00FB2878">
      <w:r w:rsidRPr="00F11865">
        <w:t>Tlenki azotu</w:t>
      </w:r>
      <w:r>
        <w:t xml:space="preserve"> (NO</w:t>
      </w:r>
      <w:r>
        <w:rPr>
          <w:vertAlign w:val="subscript"/>
        </w:rPr>
        <w:t>x</w:t>
      </w:r>
      <w:r>
        <w:t>)</w:t>
      </w:r>
      <w:r w:rsidRPr="00F11865">
        <w:t xml:space="preserve"> są jednymi z groźniejszych składników skażających atmosferę. Cały szereg reakcji fotochemicznych, w których uczestniczą tlenki azotu, czyni </w:t>
      </w:r>
      <w:r>
        <w:t>je</w:t>
      </w:r>
      <w:r w:rsidRPr="00F11865">
        <w:t xml:space="preserve"> odpowiedzialnymi za powstanie tzw. smogu, zjawiska klimatycznego dezorganizującego normalną działalność człowieka i szczególnie niebezpiecznego dla żywych organizmów</w:t>
      </w:r>
      <w:r>
        <w:t xml:space="preserve">. </w:t>
      </w:r>
      <w:r w:rsidRPr="00F11865">
        <w:t>Spośród sześciu związków tego typu istotne znaczenie mają dwutlenek i tlenek azotu. Występują one najczęściej razem i</w:t>
      </w:r>
      <w:r w:rsidR="001E5C9E">
        <w:t> </w:t>
      </w:r>
      <w:r w:rsidRPr="00F11865">
        <w:t>razem decydują o rozwoju klinicznej patologii. Zarówno tlenek azotu jak i dwutlenek azotu występują przede wszystkim w środowiskach miejskich i są to związki powstające na skutek działalności człowieka. Źródłem ich emisji są wymagające wysokich temperatur procesy spalania z dostępem powietrza. Oba te związki występują w gazach spalinowych</w:t>
      </w:r>
      <w:r>
        <w:t>,</w:t>
      </w:r>
      <w:r w:rsidRPr="00F11865">
        <w:t xml:space="preserve"> ale przeważa tlenek azotu. </w:t>
      </w:r>
      <w:r w:rsidRPr="009F65C8">
        <w:t xml:space="preserve">Głównymi źródłami emisji </w:t>
      </w:r>
      <w:r>
        <w:t xml:space="preserve">tlenków </w:t>
      </w:r>
      <w:r w:rsidRPr="009F65C8">
        <w:t xml:space="preserve">azotu są transport drogowy, energetyka zawodowa oraz lokalne systemy grzewcze. Na terenach dużych miast dominuje wpływ spalin samochodowych, dlatego największe zanieczyszczenia najczęściej występują w sąsiedztwie ruchliwych ulic. Większą emisję tlenków azotu powodują pojazdy z silnikami Diesla. </w:t>
      </w:r>
      <w:r>
        <w:t>Tlenki mogą</w:t>
      </w:r>
      <w:r w:rsidRPr="009F65C8">
        <w:t xml:space="preserve"> powodować podrażnienie dróg oddechowych oraz większą podatność na infekcje układu oddechowego. Przyczynia</w:t>
      </w:r>
      <w:r>
        <w:t>ją</w:t>
      </w:r>
      <w:r w:rsidRPr="009F65C8">
        <w:t xml:space="preserve"> się do obniżenia odporności ustroju i zwiększenia ryzyka infekcji płuc, a także zaostrzenia objawów o charakterze astmatycznym oraz chorób spojówek.</w:t>
      </w:r>
    </w:p>
    <w:p w:rsidR="00FB2878" w:rsidRDefault="00FB2878" w:rsidP="00FB2878">
      <w:pPr>
        <w:keepNext/>
      </w:pPr>
      <w:r>
        <w:rPr>
          <w:noProof/>
          <w:lang w:eastAsia="pl-PL"/>
        </w:rPr>
        <w:lastRenderedPageBreak/>
        <w:drawing>
          <wp:inline distT="0" distB="0" distL="0" distR="0">
            <wp:extent cx="5753100" cy="58483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848350"/>
                    </a:xfrm>
                    <a:prstGeom prst="rect">
                      <a:avLst/>
                    </a:prstGeom>
                    <a:noFill/>
                    <a:ln>
                      <a:noFill/>
                    </a:ln>
                  </pic:spPr>
                </pic:pic>
              </a:graphicData>
            </a:graphic>
          </wp:inline>
        </w:drawing>
      </w:r>
    </w:p>
    <w:p w:rsidR="00FB2878" w:rsidRDefault="00FB2878" w:rsidP="00FB2878">
      <w:pPr>
        <w:pStyle w:val="Legenda"/>
      </w:pPr>
      <w:bookmarkStart w:id="150" w:name="_Toc532369582"/>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9</w:t>
      </w:r>
      <w:r w:rsidR="00135E52">
        <w:rPr>
          <w:noProof/>
        </w:rPr>
        <w:fldChar w:fldCharType="end"/>
      </w:r>
      <w:r w:rsidRPr="00D81CD2">
        <w:t>Rozkład stężeń NO2-rok na obszarze województwa mazowieckiego, cel: ochrona zdrowia (rok 2017) (źródło: GIOŚ) za: Roczna Ocena Jakości Powietrza w województwie mazowieckim. Raport za rok 2017.</w:t>
      </w:r>
      <w:bookmarkEnd w:id="150"/>
    </w:p>
    <w:p w:rsidR="00FB2878" w:rsidRDefault="00FB2878" w:rsidP="00FB2878">
      <w:pPr>
        <w:keepNext/>
      </w:pPr>
      <w:r>
        <w:t>Średnie roczne stężeń dwutlenku azotu w roku 2017, mieściło się w przedziale 10,01-15,00 </w:t>
      </w:r>
      <w:r w:rsidRPr="004305F8">
        <w:t>ug/m</w:t>
      </w:r>
      <w:r w:rsidRPr="004305F8">
        <w:rPr>
          <w:vertAlign w:val="superscript"/>
        </w:rPr>
        <w:t>3</w:t>
      </w:r>
      <w:r>
        <w:t>.</w:t>
      </w:r>
    </w:p>
    <w:p w:rsidR="00FB2878" w:rsidRPr="009F65C8" w:rsidRDefault="00FB2878" w:rsidP="00FB2878">
      <w:pPr>
        <w:rPr>
          <w:b/>
          <w:bCs/>
          <w:u w:val="single"/>
        </w:rPr>
      </w:pPr>
      <w:r w:rsidRPr="009F65C8">
        <w:rPr>
          <w:b/>
          <w:bCs/>
          <w:u w:val="single"/>
        </w:rPr>
        <w:t>Dwutlenek siarki</w:t>
      </w:r>
    </w:p>
    <w:p w:rsidR="00FB2878" w:rsidRDefault="00FB2878" w:rsidP="00FB2878">
      <w:r w:rsidRPr="009F65C8">
        <w:t>Dwutlenek siarki</w:t>
      </w:r>
      <w:r>
        <w:t xml:space="preserve"> (SO</w:t>
      </w:r>
      <w:r w:rsidRPr="007E2FFA">
        <w:rPr>
          <w:vertAlign w:val="subscript"/>
        </w:rPr>
        <w:t>2</w:t>
      </w:r>
      <w:r>
        <w:t>)</w:t>
      </w:r>
      <w:r w:rsidRPr="009F65C8">
        <w:t xml:space="preserve"> to bezbarwny gaz o ostrym, gryzącym i duszącym zapachu, silnie drażniący drogi oddechowe. Wchłaniany jest do organizmu człowieka przez błonę śluzową nosa i górny odcinek dróg oddechowych. Jest trujący dla zwierząt i szkodliwy dla roślin. Gaz ten wchodzi w reakcję z parą wodną zawartą w powietrzu, w wyniku czego stanowi główną przyczynę powstawania kwaśnych deszczów. Stanowi także składnik smogu w wielkich </w:t>
      </w:r>
      <w:r w:rsidRPr="009F65C8">
        <w:lastRenderedPageBreak/>
        <w:t>aglomeracjach miejskich. Dwutlenek siarki powstaje w wyniku spalania paliw kopalnych zawierających siarkę - zarówno w zakładach przemysłowych, lokalnych kotłowniach, jak również w indywidualnych kotłach grzewczych. Dwutlenek siarki może powodować podrażnienie górnych dróg oddechowych, a także zaostrzenie schorzeń powodujących podrażnienie spojówek i skóry. Wysokie stężenia dwutlenku siarki mogą wywołać ostre choroby górnych dróg oddechowych.</w:t>
      </w:r>
      <w:r>
        <w:t>Rozpuszczalność dwutlenku siarki jest tym większa, im niższa jest temperatura powietrza.</w:t>
      </w:r>
    </w:p>
    <w:p w:rsidR="00FB2878" w:rsidRDefault="00FB2878" w:rsidP="00FB2878">
      <w:pPr>
        <w:keepNext/>
      </w:pPr>
      <w:r>
        <w:rPr>
          <w:noProof/>
          <w:lang w:eastAsia="pl-PL"/>
        </w:rPr>
        <w:drawing>
          <wp:inline distT="0" distB="0" distL="0" distR="0">
            <wp:extent cx="5759450" cy="5937250"/>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5937250"/>
                    </a:xfrm>
                    <a:prstGeom prst="rect">
                      <a:avLst/>
                    </a:prstGeom>
                    <a:noFill/>
                    <a:ln>
                      <a:noFill/>
                    </a:ln>
                  </pic:spPr>
                </pic:pic>
              </a:graphicData>
            </a:graphic>
          </wp:inline>
        </w:drawing>
      </w:r>
    </w:p>
    <w:p w:rsidR="00FB2878" w:rsidRDefault="00FB2878" w:rsidP="00FB2878">
      <w:pPr>
        <w:pStyle w:val="Legenda"/>
      </w:pPr>
      <w:bookmarkStart w:id="151" w:name="_Toc532369583"/>
      <w:r>
        <w:t xml:space="preserve">Rysunek </w:t>
      </w:r>
      <w:r w:rsidR="00135E52">
        <w:rPr>
          <w:noProof/>
        </w:rPr>
        <w:fldChar w:fldCharType="begin"/>
      </w:r>
      <w:r w:rsidR="00350E1F">
        <w:rPr>
          <w:noProof/>
        </w:rPr>
        <w:instrText xml:space="preserve"> SEQ Rysunek \* ARABIC </w:instrText>
      </w:r>
      <w:r w:rsidR="00135E52">
        <w:rPr>
          <w:noProof/>
        </w:rPr>
        <w:fldChar w:fldCharType="separate"/>
      </w:r>
      <w:r w:rsidR="00AD136C">
        <w:rPr>
          <w:noProof/>
        </w:rPr>
        <w:t>10</w:t>
      </w:r>
      <w:r w:rsidR="00135E52">
        <w:rPr>
          <w:noProof/>
        </w:rPr>
        <w:fldChar w:fldCharType="end"/>
      </w:r>
      <w:r w:rsidRPr="005279A5">
        <w:t>Rozkład stężeń SO2-1h (25-te maksimum w roku) na obszarze województwa mazowieckiego, cel: ochrona zdrowia (rok 2017) za: Roczna Ocena Jakości Powietrza w województwie mazowieckim. Raport za rok 2017.</w:t>
      </w:r>
      <w:bookmarkEnd w:id="151"/>
    </w:p>
    <w:p w:rsidR="001005E4" w:rsidRDefault="001005E4" w:rsidP="001005E4">
      <w:r w:rsidRPr="00C17EA3">
        <w:lastRenderedPageBreak/>
        <w:t>W 2017 roku rozkład stężeń dwutlenku siarki zawierał się w przedziale 15.01-25.00 ug/m</w:t>
      </w:r>
      <w:r w:rsidRPr="00C17EA3">
        <w:rPr>
          <w:vertAlign w:val="superscript"/>
        </w:rPr>
        <w:t>3</w:t>
      </w:r>
      <w:r w:rsidRPr="00C17EA3">
        <w:t xml:space="preserve"> w</w:t>
      </w:r>
      <w:r w:rsidR="001E5C9E">
        <w:t> </w:t>
      </w:r>
      <w:r w:rsidRPr="00C17EA3">
        <w:t>centralnej oraz w północnej i północno-zachodniej części M</w:t>
      </w:r>
      <w:r>
        <w:t>ławy</w:t>
      </w:r>
      <w:r w:rsidRPr="00C17EA3">
        <w:t xml:space="preserve">. Natomiast </w:t>
      </w:r>
      <w:r>
        <w:t>na obrzeżach miasta</w:t>
      </w:r>
      <w:r w:rsidRPr="00C17EA3">
        <w:t xml:space="preserve"> rozkład stężeń SO</w:t>
      </w:r>
      <w:r w:rsidRPr="00C17EA3">
        <w:rPr>
          <w:vertAlign w:val="subscript"/>
        </w:rPr>
        <w:t>2</w:t>
      </w:r>
      <w:r w:rsidRPr="00C17EA3">
        <w:t xml:space="preserve"> był niższy i zawierał się w ≤15.00 ug/m</w:t>
      </w:r>
      <w:r w:rsidRPr="00C17EA3">
        <w:rPr>
          <w:vertAlign w:val="superscript"/>
        </w:rPr>
        <w:t>3</w:t>
      </w:r>
      <w:r w:rsidRPr="00C17EA3">
        <w:t>. Wyniki uśredniane do pomiarów 1-godzinnych w skali roku.</w:t>
      </w:r>
    </w:p>
    <w:p w:rsidR="00C13FF9" w:rsidRPr="001005E4" w:rsidRDefault="00C13FF9" w:rsidP="001005E4"/>
    <w:p w:rsidR="00B0223A" w:rsidRPr="00E457E6" w:rsidRDefault="00B0223A" w:rsidP="00B0223A">
      <w:pPr>
        <w:pStyle w:val="Styl2"/>
        <w:spacing w:line="360" w:lineRule="auto"/>
      </w:pPr>
      <w:bookmarkStart w:id="152" w:name="_Toc524375252"/>
      <w:bookmarkStart w:id="153" w:name="_Toc524936079"/>
      <w:bookmarkStart w:id="154" w:name="_Toc528140066"/>
      <w:bookmarkStart w:id="155" w:name="_Toc528749857"/>
      <w:bookmarkStart w:id="156" w:name="_Toc535233343"/>
      <w:r w:rsidRPr="00E457E6">
        <w:t>5.</w:t>
      </w:r>
      <w:r>
        <w:t>4</w:t>
      </w:r>
      <w:r w:rsidRPr="00E457E6">
        <w:t xml:space="preserve"> Inne zanieczyszczenia powietrza</w:t>
      </w:r>
      <w:bookmarkEnd w:id="152"/>
      <w:bookmarkEnd w:id="153"/>
      <w:bookmarkEnd w:id="154"/>
      <w:bookmarkEnd w:id="155"/>
      <w:bookmarkEnd w:id="156"/>
    </w:p>
    <w:p w:rsidR="00B0223A" w:rsidRPr="00D60C47" w:rsidRDefault="00B0223A" w:rsidP="00B0223A">
      <w:pPr>
        <w:rPr>
          <w:b/>
        </w:rPr>
      </w:pPr>
      <w:r w:rsidRPr="00D60C47">
        <w:rPr>
          <w:b/>
        </w:rPr>
        <w:t>Pyły zawieszone jako nośnik metali ciężkich</w:t>
      </w:r>
    </w:p>
    <w:p w:rsidR="00B0223A" w:rsidRPr="00BF722C" w:rsidRDefault="00B0223A" w:rsidP="00B0223A">
      <w:r>
        <w:t>Na powierzchni pyłów może dochodzić do przenoszenia pierwiastków śladowych, których zawartość zwiększa ich szkodliwość. Województwo mazowieckie od 2007 r. prowadzi monitoring metali ciężkich i WWA (wielopierścieniowych węglowodorów aromatycznych) w</w:t>
      </w:r>
      <w:r w:rsidR="001E5C9E">
        <w:t> </w:t>
      </w:r>
      <w:r>
        <w:t>pyle PM10. Oznaczane są stężenia następujących metali: arsenu, niklu, kadmu, ołowiu oraz przedstawiciela WWA - benzo(a)pirenu.</w:t>
      </w:r>
    </w:p>
    <w:p w:rsidR="00B0223A" w:rsidRPr="00D60C47" w:rsidRDefault="00B0223A" w:rsidP="00B0223A">
      <w:pPr>
        <w:rPr>
          <w:b/>
          <w:bCs/>
          <w:u w:val="single"/>
        </w:rPr>
      </w:pPr>
      <w:r w:rsidRPr="00D60C47">
        <w:rPr>
          <w:b/>
          <w:bCs/>
          <w:u w:val="single"/>
        </w:rPr>
        <w:t>Benzen</w:t>
      </w:r>
    </w:p>
    <w:p w:rsidR="00B0223A" w:rsidRPr="00D60C47" w:rsidRDefault="00B0223A" w:rsidP="00B0223A">
      <w:r w:rsidRPr="00D60C47">
        <w:t>Benzen jest jednym z najbardziej rozpowszechnionych związków organicznych, otrzymywanych z ropy naftowej. Toksyczny, rakotwórczy, wykazuje działanie narkotyczne. Otrzymywany jest na wielką skalę w czasie przeróbki węgla kamiennego (smoła węglowa) i ropy naftowej. Ze względu na zawartość benzenu w benzynie i spalinach silników samochodowych oraz w dymie tytoniowym narażenie ludzi na</w:t>
      </w:r>
      <w:r>
        <w:t> </w:t>
      </w:r>
      <w:r w:rsidRPr="00D60C47">
        <w:t xml:space="preserve">obecność benzenu w powietrzu staje się istotnym problemem. Innym źródłem narażenia na benzen jest </w:t>
      </w:r>
      <w:r>
        <w:t xml:space="preserve">jego </w:t>
      </w:r>
      <w:r w:rsidRPr="00D60C47">
        <w:t>obecność w produktach spożywczych i w wodzie pitnej. Benzen wchłania się głównie w postaci par drogą oddechową, a ciekły benzen jest wchłaniany przez skórę. U ludzi ostre zatrucia benzenem o dużych stężeniach prowadzą do śmierci, poprzedzonej objawami narkotycznymi, arytmią serca i zaburzeniem oddychania.</w:t>
      </w:r>
    </w:p>
    <w:p w:rsidR="00B0223A" w:rsidRPr="00D60C47" w:rsidRDefault="00B0223A" w:rsidP="00B0223A">
      <w:pPr>
        <w:rPr>
          <w:b/>
          <w:u w:val="single"/>
        </w:rPr>
      </w:pPr>
      <w:r w:rsidRPr="00D60C47">
        <w:rPr>
          <w:b/>
          <w:u w:val="single"/>
        </w:rPr>
        <w:t>Ołów</w:t>
      </w:r>
    </w:p>
    <w:p w:rsidR="00B0223A" w:rsidRPr="00D60C47" w:rsidRDefault="00B0223A" w:rsidP="00B0223A">
      <w:r w:rsidRPr="00D60C47">
        <w:t>Ołów jest pierwiastkiem zaliczanym do metali ciężkich. Ze względu na swoje właściwości fizykochemiczne znajduje zastosowanie w wielu gałęziach przemysłu. Jest on zanieczyszczeniem typowo antropogenicznym, ok. 96% ołowiu zawartego w atmosferze pochodzi z kopalni rud metali, ze</w:t>
      </w:r>
      <w:r>
        <w:t> </w:t>
      </w:r>
      <w:r w:rsidRPr="00D60C47">
        <w:t xml:space="preserve">składowisk złomu, produkcji farb oraz elektrociepłowni </w:t>
      </w:r>
      <w:r w:rsidRPr="00D60C47">
        <w:lastRenderedPageBreak/>
        <w:t>spalających węgiel. Do organizmu człowieka, ołów przede wszystkim przedostaje się przez drogi oddechowe, w postaci pyłu. Po wchłonięciu do</w:t>
      </w:r>
      <w:r>
        <w:t> </w:t>
      </w:r>
      <w:r w:rsidRPr="00D60C47">
        <w:t>organizmu ołów transportowany jest za pomocą układu krążenia do poszczególnych narządów organizmu, gdzie ulega bioakumulacji. Ze względu na przepuszczalność ołowiu przez łożysko, stanowi on również zagrożenie dla płodu. Może to przyczyniać się do późniejszych odchyleń w rozwoju umysłowym dziecka. Długotrwałe narażenie na ołów dla dorosłego człowieka może wiązać sięz</w:t>
      </w:r>
      <w:r>
        <w:t> </w:t>
      </w:r>
      <w:r w:rsidRPr="00D60C47">
        <w:t>późniejszymi problemami z</w:t>
      </w:r>
      <w:r w:rsidR="001E5C9E">
        <w:t> </w:t>
      </w:r>
      <w:r w:rsidRPr="00D60C47">
        <w:t>układem krążenia, immunologicznym czy nerwowym.</w:t>
      </w:r>
    </w:p>
    <w:p w:rsidR="00B0223A" w:rsidRPr="00D60C47" w:rsidRDefault="00B0223A" w:rsidP="00B0223A">
      <w:pPr>
        <w:rPr>
          <w:b/>
          <w:u w:val="single"/>
        </w:rPr>
      </w:pPr>
      <w:r w:rsidRPr="00D60C47">
        <w:rPr>
          <w:b/>
          <w:u w:val="single"/>
        </w:rPr>
        <w:t>Arsen</w:t>
      </w:r>
    </w:p>
    <w:p w:rsidR="00B0223A" w:rsidRPr="00D60C47" w:rsidRDefault="00B0223A" w:rsidP="00B0223A">
      <w:r w:rsidRPr="00D60C47">
        <w:t>Arsen jest pierwiastkiem należącym do grupy metali ciężkich. Do źródeł naturalnych arsenu przede wszystkim należy zaliczyć wybuchy wulkanów czy falowanie wód. W wyniku działalności człowieka pierwiastek ten uwalniany jest na wskutek spalania węgla, produkcji akumulatorów, wydobycia surowców mineralnych oraz nawożenia gleb. Krótkotrwałe narażenie może powodować przemijające schorzenia lub dolegliwości (wymioty, biegunka). Długotrwała ekspozycja przyczynia się do kumulacji arsenu w niektórych narządach (wątrobie, kościach, skórze). W związku z tym może się to przyczyniać do pojawienia się zmian skórnych</w:t>
      </w:r>
      <w:r>
        <w:t xml:space="preserve"> i</w:t>
      </w:r>
      <w:r w:rsidR="001E5C9E">
        <w:t> </w:t>
      </w:r>
      <w:r w:rsidRPr="00D60C47">
        <w:t>uszkodzenia organów</w:t>
      </w:r>
      <w:r>
        <w:t xml:space="preserve"> wewnętrznych.</w:t>
      </w:r>
      <w:r w:rsidRPr="00D60C47">
        <w:t xml:space="preserve"> Dodatkowo, związki arsenu wykazują działanie kancerogenne oraz mutagenne.</w:t>
      </w:r>
    </w:p>
    <w:p w:rsidR="00B0223A" w:rsidRPr="00D60C47" w:rsidRDefault="00B0223A" w:rsidP="00B0223A">
      <w:pPr>
        <w:rPr>
          <w:b/>
          <w:u w:val="single"/>
        </w:rPr>
      </w:pPr>
      <w:r w:rsidRPr="00D60C47">
        <w:rPr>
          <w:b/>
          <w:u w:val="single"/>
        </w:rPr>
        <w:t>Kadm</w:t>
      </w:r>
    </w:p>
    <w:p w:rsidR="00B0223A" w:rsidRPr="00D60C47" w:rsidRDefault="00B0223A" w:rsidP="00B0223A">
      <w:r w:rsidRPr="00D60C47">
        <w:t>Kadm występuje we wszystkich elementach środowiska, jednak bardzo rzadko w stanie wolnym. Najczęściej obecny jest w postaci związanej w rudach cynku, miedzi lub ołowiu. Do środowiska przedostaje się w wyniku wydobycia oraz przeróbki rud, hutnictwa metali ciężkich, wraz ze ściekami z procesów galwanizacji, produkcji barwników oraz nawozów fosforowych. Znaczny udział związków kadmu uwalniany jest do atmosfery w wyniku spalania paliw kopalnych. Kadm charakteryzuje się wysoką toksycznością, znacznie wyższą niż arsen. Do organizmu ludzkiego przede wszystkim przedostaje się drogami oddechowymi, w znacznie mniejszym stopniu wraz z pokarmem. Kadm jest pierwiastkiem bardzo łatwo ulegającym akumulacji w różnych tkankach i narządach (wątrobie, nerkach, kościach), przy czym szczególnie narażone są nerki. Głównym objawem zatrucia przewlekłego jest rozedma płuc oraz uszkodzenie czynności nerek.</w:t>
      </w:r>
    </w:p>
    <w:p w:rsidR="00B0223A" w:rsidRPr="00D60C47" w:rsidRDefault="00B0223A" w:rsidP="00B0223A">
      <w:pPr>
        <w:rPr>
          <w:b/>
          <w:u w:val="single"/>
        </w:rPr>
      </w:pPr>
      <w:r w:rsidRPr="00D60C47">
        <w:rPr>
          <w:b/>
          <w:u w:val="single"/>
        </w:rPr>
        <w:t>Nikiel</w:t>
      </w:r>
    </w:p>
    <w:p w:rsidR="00B0223A" w:rsidRPr="00BC3CB5" w:rsidRDefault="00B0223A" w:rsidP="00B0223A">
      <w:pPr>
        <w:rPr>
          <w:strike/>
        </w:rPr>
      </w:pPr>
      <w:r w:rsidRPr="00D60C47">
        <w:lastRenderedPageBreak/>
        <w:t>Nikiel jest naturalnym elementem skorupy ziemskiej, jego niewielkie stężenie obecne jest we wszystkich elementach środowiska. W powietrzu najbardziej rozpowszechnionymi formami niklu są jego siarczany oraz tlenki. Głównym źródłem niklu w środowisku jest spalanie węgla, ropy naftowej, również produkcja stali oraz procesy galwaniczne. Organizm człowieka może być narażony na działanie niklu poprzez drogi oddechowe, wodę pitną, pokarm oraz dym papierosowy. Szkodliwy wpływ niklu na zdrowie ludzkie szczególnie dotyczy osób, które są stale narażone na negatywne oddziaływanie ze względu na</w:t>
      </w:r>
      <w:r>
        <w:t> </w:t>
      </w:r>
      <w:r w:rsidRPr="00D60C47">
        <w:t xml:space="preserve">wykonywanie swojej pracy zawodowej oraz palenie papierosów. Chroniczne narażenie na nikiel możne objawiać się atakami astmy, zapaleniem skóry. Dodatkowo </w:t>
      </w:r>
      <w:r>
        <w:t xml:space="preserve">nikiel </w:t>
      </w:r>
      <w:r w:rsidRPr="00D60C47">
        <w:t>ma tendencję do kumulacji w tkance płucnej oraz chłonnej</w:t>
      </w:r>
      <w:r>
        <w:t xml:space="preserve"> oraz dla człowieka m</w:t>
      </w:r>
      <w:r w:rsidRPr="00D60C47">
        <w:t>ożliwe działanie rakotwórcze</w:t>
      </w:r>
      <w:r>
        <w:t>.</w:t>
      </w:r>
    </w:p>
    <w:p w:rsidR="00B0223A" w:rsidRPr="00D60C47" w:rsidRDefault="00B0223A" w:rsidP="00B0223A">
      <w:pPr>
        <w:rPr>
          <w:b/>
          <w:u w:val="single"/>
        </w:rPr>
      </w:pPr>
      <w:r w:rsidRPr="00D60C47">
        <w:rPr>
          <w:b/>
          <w:u w:val="single"/>
        </w:rPr>
        <w:t>Rtęć</w:t>
      </w:r>
    </w:p>
    <w:p w:rsidR="00B0223A" w:rsidRDefault="00B0223A" w:rsidP="00B0223A">
      <w:r w:rsidRPr="00D60C47">
        <w:t>Główne antropogeniczne źródła emisji rtęci do powietrza atmosferycznego to: spalanie paliw stałych, płynnych i gazowych, produkcja cementu, hutnictwo metali żelaznych i nieżelaznych, procesy przemysłowe stosujące rtęć i jej związki oraz spalanie odpadów. Rtęć i jej związki charakteryzują się dużą aktywnością chemiczną i biologiczną oraz zmiennością postaci występowania, co powoduje, że są one włączane w różne cykle obiegu w przyrodzie. W</w:t>
      </w:r>
      <w:r w:rsidR="001E5C9E">
        <w:t> </w:t>
      </w:r>
      <w:r w:rsidRPr="00D60C47">
        <w:t>zależności od postaci rtęci objawy zatrucia mogą być całkowicie różne. Objawy ostrego zatrucia rtęcią pierwiastkową lub jej solami charakteryzują się</w:t>
      </w:r>
      <w:r>
        <w:t> </w:t>
      </w:r>
      <w:r w:rsidRPr="00D60C47">
        <w:t>metalicznym posmakiem w</w:t>
      </w:r>
      <w:r w:rsidR="001E5C9E">
        <w:t> </w:t>
      </w:r>
      <w:r w:rsidRPr="00D60C47">
        <w:t>ustach, ślinotokiem, krwawieniem dziąseł, brakiem apetytu i mdłościami. Objawy przewlekłego zatrucia rtęcią mogą pojawiać się po 3-4 latach chronicznego narażenia. Do</w:t>
      </w:r>
      <w:r>
        <w:t> </w:t>
      </w:r>
      <w:r w:rsidRPr="00D60C47">
        <w:t>głównych oznak można zaliczyć drżenie rąk, powiek oraz warg, patologiczne zwiększona pobudliwość, uszkodzenie wielu organów oraz centralnego i obwodowego układu nerwowego.</w:t>
      </w:r>
    </w:p>
    <w:p w:rsidR="00B0223A" w:rsidRPr="00D60C47" w:rsidRDefault="00B0223A" w:rsidP="00B0223A">
      <w:pPr>
        <w:rPr>
          <w:b/>
          <w:bCs/>
          <w:u w:val="single"/>
        </w:rPr>
      </w:pPr>
      <w:r w:rsidRPr="00D60C47">
        <w:rPr>
          <w:b/>
          <w:bCs/>
          <w:u w:val="single"/>
        </w:rPr>
        <w:t>Tlenek węgla</w:t>
      </w:r>
    </w:p>
    <w:p w:rsidR="00B0223A" w:rsidRDefault="00B0223A" w:rsidP="00B0223A">
      <w:r w:rsidRPr="00D60C47">
        <w:t xml:space="preserve">Tlenek węgla powstaje w trakcie procesów spalania przy niedoborze tlenu. Naturalnymi źródłami emisji są erupcje wulkanów i pożary lasów. W ramach działalności człowieka największą emisję tlenku węgla powodują: przemysł energetyczny, hutniczy i chemiczny. Poza tym znacząca emisja tlenku węgla pochodzi </w:t>
      </w:r>
      <w:r>
        <w:t>ze</w:t>
      </w:r>
      <w:r w:rsidRPr="00D60C47">
        <w:t xml:space="preserve"> spalania paliw w pojazdach samochodowych, kotłach domowych opalanych węglem, a także ze spalania odpadów i suchych pozostałości roślinnych. Tlenek węgla może wywołać ogólne osłabienie, uczucie duszności, bóle i zawroty głowy, a także zmniejszoną sprawność psychomotoryczną organizmu. Wysokie stężenia tlenku </w:t>
      </w:r>
      <w:r w:rsidRPr="00D60C47">
        <w:lastRenderedPageBreak/>
        <w:t>węgla powodują przyspieszenie akcji serca i oddechu, zmniejszoną sprawność fizyczną i</w:t>
      </w:r>
      <w:r w:rsidR="001E5C9E">
        <w:t> </w:t>
      </w:r>
      <w:r w:rsidRPr="00D60C47">
        <w:t>umysłową organizmu.</w:t>
      </w:r>
    </w:p>
    <w:p w:rsidR="006270DE" w:rsidRDefault="006270DE" w:rsidP="0067726A">
      <w:pPr>
        <w:pStyle w:val="Styl2"/>
      </w:pPr>
      <w:bookmarkStart w:id="157" w:name="_Toc535233344"/>
      <w:r>
        <w:t xml:space="preserve">5.5 </w:t>
      </w:r>
      <w:r w:rsidRPr="006270DE">
        <w:t>Emisja zanieczyszczeń ze źródeł ciepła budynków mieszkalnych</w:t>
      </w:r>
      <w:r w:rsidR="001907B7">
        <w:t>. Wyniki badań ankietowych.</w:t>
      </w:r>
      <w:bookmarkEnd w:id="157"/>
    </w:p>
    <w:p w:rsidR="00E33CEB" w:rsidRDefault="00E33CEB" w:rsidP="00E33CEB">
      <w:bookmarkStart w:id="158" w:name="_Toc524936080"/>
      <w:bookmarkStart w:id="159" w:name="_Toc528140067"/>
      <w:bookmarkStart w:id="160" w:name="_Toc528749858"/>
      <w:r>
        <w:t>W Mieście Mława zanieczyszczenie związane z niska emisją stanowią w głównej mierzeoddziaływania związane z indywidualnym ogrzewaniem budynków.</w:t>
      </w:r>
    </w:p>
    <w:p w:rsidR="00C13FF9" w:rsidRDefault="00D16D64" w:rsidP="00E33CEB">
      <w:r>
        <w:t xml:space="preserve">Na podstawie ankietyzacji przeprowadzonej wśród mieszkańców z 765 gospodarstw domowych </w:t>
      </w:r>
      <w:r w:rsidR="00D86ED4">
        <w:t>opracowano przybliżony stan rzeczywisty istniejących źródeł ciepła dla budynków w Mławie.</w:t>
      </w:r>
    </w:p>
    <w:p w:rsidR="00D86ED4" w:rsidRDefault="00135E52" w:rsidP="00B763A5">
      <w:pPr>
        <w:keepNext/>
      </w:pPr>
      <w:r>
        <w:rPr>
          <w:noProof/>
        </w:rPr>
        <w:lastRenderedPageBreak/>
        <w:pict>
          <v:shapetype id="_x0000_t202" coordsize="21600,21600" o:spt="202" path="m,l,21600r21600,l21600,xe">
            <v:stroke joinstyle="miter"/>
            <v:path gradientshapeok="t" o:connecttype="rect"/>
          </v:shapetype>
          <v:shape id="Pole tekstowe 10" o:spid="_x0000_s1032" type="#_x0000_t202" style="position:absolute;left:0;text-align:left;margin-left:0;margin-top:239.9pt;width:427.75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" stroked="f">
            <v:textbox style="mso-fit-shape-to-text:t" inset="0,0,0,0">
              <w:txbxContent>
                <w:p w:rsidR="00C13FF9" w:rsidRPr="006020F3" w:rsidRDefault="00C13FF9" w:rsidP="00C13FF9">
                  <w:pPr>
                    <w:pStyle w:val="Legenda"/>
                    <w:rPr>
                      <w:noProof/>
                      <w:sz w:val="24"/>
                    </w:rPr>
                  </w:pPr>
                  <w:bookmarkStart w:id="161" w:name="_Toc535786971"/>
                  <w:r>
                    <w:t xml:space="preserve">Wykres </w:t>
                  </w:r>
                  <w:r w:rsidR="00135E52">
                    <w:rPr>
                      <w:noProof/>
                    </w:rPr>
                    <w:fldChar w:fldCharType="begin"/>
                  </w:r>
                  <w:r w:rsidR="00D93E91">
                    <w:rPr>
                      <w:noProof/>
                    </w:rPr>
                    <w:instrText xml:space="preserve"> SEQ Wykres \* ARABIC </w:instrText>
                  </w:r>
                  <w:r w:rsidR="00135E52">
                    <w:rPr>
                      <w:noProof/>
                    </w:rPr>
                    <w:fldChar w:fldCharType="separate"/>
                  </w:r>
                  <w:r w:rsidR="00AD136C">
                    <w:rPr>
                      <w:noProof/>
                    </w:rPr>
                    <w:t>5</w:t>
                  </w:r>
                  <w:r w:rsidR="00135E52">
                    <w:rPr>
                      <w:noProof/>
                    </w:rPr>
                    <w:fldChar w:fldCharType="end"/>
                  </w:r>
                  <w:r w:rsidRPr="0067445D">
                    <w:t>Wykres 5 Rodzaj paliwa wykorzystywanego do indywidualnego ogrzewania budynków w Mieście Mława. Dane na podstawie ankietyzacji przeprowadzonej wśród gospodarstw domowych.</w:t>
                  </w:r>
                  <w:bookmarkEnd w:id="161"/>
                </w:p>
              </w:txbxContent>
            </v:textbox>
            <w10:wrap type="topAndBottom"/>
          </v:shape>
        </w:pict>
      </w:r>
      <w:r w:rsidR="00D16D64">
        <w:rPr>
          <w:noProof/>
          <w:lang w:eastAsia="pl-PL"/>
        </w:rPr>
        <w:drawing>
          <wp:anchor distT="0" distB="0" distL="114300" distR="114300" simplePos="0" relativeHeight="251668480" behindDoc="0" locked="0" layoutInCell="1" allowOverlap="0">
            <wp:simplePos x="0" y="0"/>
            <wp:positionH relativeFrom="column">
              <wp:posOffset>91</wp:posOffset>
            </wp:positionH>
            <wp:positionV relativeFrom="paragraph">
              <wp:posOffset>-1089</wp:posOffset>
            </wp:positionV>
            <wp:extent cx="5431790" cy="2987675"/>
            <wp:effectExtent l="0" t="0" r="16510" b="3175"/>
            <wp:wrapTopAndBottom/>
            <wp:docPr id="22" name="Wykres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6C1AEE-373E-4FB2-8713-6EA4763C2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D86ED4">
        <w:t xml:space="preserve">Wśród przeprowadzonych ankiet prawie 50% budynków opalanych jest węglem. Drugim najczęściej stosowanym paliwem jest drewno (prawie 32%). Kotłownie gazowe stanowią niecałe 14% źródeł. W mniejszym stopniu do ogrzewania budynków wykorzystywane są energia elektryczna, pellety, biomasa i ekogroszek. </w:t>
      </w:r>
    </w:p>
    <w:p w:rsidR="00B763A5" w:rsidRDefault="002B7643" w:rsidP="00DE09A6">
      <w:pPr>
        <w:keepNext/>
        <w:jc w:val="center"/>
      </w:pPr>
      <w:r>
        <w:br w:type="textWrapping" w:clear="all"/>
      </w:r>
      <w:r w:rsidR="00F74F7E">
        <w:rPr>
          <w:noProof/>
          <w:lang w:eastAsia="pl-PL"/>
        </w:rPr>
        <w:drawing>
          <wp:inline distT="0" distB="0" distL="0" distR="0">
            <wp:extent cx="5493434" cy="3277821"/>
            <wp:effectExtent l="0" t="0" r="12065" b="18415"/>
            <wp:docPr id="25" name="Wykres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2769F4-43CD-4878-9FDE-21EB50FA3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6D64" w:rsidRDefault="00B763A5" w:rsidP="00B763A5">
      <w:pPr>
        <w:pStyle w:val="Legenda"/>
      </w:pPr>
      <w:bookmarkStart w:id="162" w:name="_Toc535786972"/>
      <w:r>
        <w:t xml:space="preserve">Wykres </w:t>
      </w:r>
      <w:r w:rsidR="00135E52">
        <w:rPr>
          <w:noProof/>
        </w:rPr>
        <w:fldChar w:fldCharType="begin"/>
      </w:r>
      <w:r w:rsidR="00D86ED4">
        <w:rPr>
          <w:noProof/>
        </w:rPr>
        <w:instrText xml:space="preserve"> SEQ Wykres \* ARABIC </w:instrText>
      </w:r>
      <w:r w:rsidR="00135E52">
        <w:rPr>
          <w:noProof/>
        </w:rPr>
        <w:fldChar w:fldCharType="separate"/>
      </w:r>
      <w:r w:rsidR="00AD136C">
        <w:rPr>
          <w:noProof/>
        </w:rPr>
        <w:t>6</w:t>
      </w:r>
      <w:r w:rsidR="00135E52">
        <w:rPr>
          <w:noProof/>
        </w:rPr>
        <w:fldChar w:fldCharType="end"/>
      </w:r>
      <w:r>
        <w:t xml:space="preserve"> Charakterystyka i rodzaj pieca wykorzystywanego do indywidualnego ogrzewania budynków </w:t>
      </w:r>
      <w:r w:rsidRPr="001F7FD1">
        <w:t>w Mieście Mława. Dane na podstawie ankietyzacji przeprowadzonej wśród gospodarstw domowych.</w:t>
      </w:r>
      <w:bookmarkEnd w:id="162"/>
    </w:p>
    <w:p w:rsidR="00B763A5" w:rsidRDefault="00D86ED4" w:rsidP="00B763A5">
      <w:r>
        <w:lastRenderedPageBreak/>
        <w:t xml:space="preserve">Piece węglowe zainstalowane są w ponad </w:t>
      </w:r>
      <w:r w:rsidR="007319F8">
        <w:t>14</w:t>
      </w:r>
      <w:r>
        <w:t xml:space="preserve">% mławskich kotłowni indywidualnych. </w:t>
      </w:r>
      <w:r w:rsidR="007319F8">
        <w:t xml:space="preserve">Obecność pieca kaflowego zadeklarowało ponad 40% ankietowanych, a kominek ponad </w:t>
      </w:r>
      <w:r w:rsidR="00AB5694">
        <w:t>3</w:t>
      </w:r>
      <w:r w:rsidR="007319F8">
        <w:t xml:space="preserve">%. </w:t>
      </w:r>
      <w:r>
        <w:t>P</w:t>
      </w:r>
      <w:r w:rsidR="007319F8">
        <w:t>rawie 12</w:t>
      </w:r>
      <w:r>
        <w:t xml:space="preserve">% ankietyzowanych domostw wyposażonych jest w </w:t>
      </w:r>
      <w:r w:rsidR="007319F8">
        <w:t>piec metalowy</w:t>
      </w:r>
      <w:r>
        <w:t xml:space="preserve">. </w:t>
      </w:r>
      <w:r w:rsidR="007319F8">
        <w:t>Budynki w Mławie wyposażone są także w inne instalacje co zobrazowane jest przez powyższy wykres.</w:t>
      </w:r>
    </w:p>
    <w:p w:rsidR="00566DB4" w:rsidRPr="00566DB4" w:rsidRDefault="006C0CBF" w:rsidP="00566DB4">
      <w:r>
        <w:t>Niestety, w indywidualnym i komunalnym ogrzewnictwie funkcjonują jeszcze urządzenia grzewcze o przestarzałej konstrukcji, jak kotły komorowe tradycyjne, bez regulacji i kontroli ilości podawanego paliwa do paleniska oraz bez regulacji i kontroli powietrza wprowadzanego do procesu spalania, o sprawności średniorocznej wynoszącej ok. 50%. W starych nieefektywnych urządzeniach grzewczych spala się niskiej jakości węgiel, a często także różnego rodzaju materiały odpadowe i odpady komunalne.</w:t>
      </w:r>
    </w:p>
    <w:p w:rsidR="00B763A5" w:rsidRDefault="00B763A5" w:rsidP="00DE09A6">
      <w:pPr>
        <w:keepNext/>
        <w:jc w:val="center"/>
      </w:pPr>
      <w:r>
        <w:rPr>
          <w:noProof/>
          <w:lang w:eastAsia="pl-PL"/>
        </w:rPr>
        <w:drawing>
          <wp:inline distT="0" distB="0" distL="0" distR="0">
            <wp:extent cx="4572000" cy="2743200"/>
            <wp:effectExtent l="0" t="0" r="0" b="0"/>
            <wp:docPr id="26" name="Wykres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08EE1F-E86F-42FA-B493-43B73F21E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763A5" w:rsidRDefault="00B763A5" w:rsidP="00B763A5">
      <w:pPr>
        <w:pStyle w:val="Legenda"/>
      </w:pPr>
      <w:bookmarkStart w:id="163" w:name="_Toc535786973"/>
      <w:r>
        <w:t xml:space="preserve">Wykres </w:t>
      </w:r>
      <w:r w:rsidR="00135E52">
        <w:rPr>
          <w:noProof/>
        </w:rPr>
        <w:fldChar w:fldCharType="begin"/>
      </w:r>
      <w:r w:rsidR="00D86ED4">
        <w:rPr>
          <w:noProof/>
        </w:rPr>
        <w:instrText xml:space="preserve"> SEQ Wykres \* ARABIC </w:instrText>
      </w:r>
      <w:r w:rsidR="00135E52">
        <w:rPr>
          <w:noProof/>
        </w:rPr>
        <w:fldChar w:fldCharType="separate"/>
      </w:r>
      <w:r w:rsidR="00AD136C">
        <w:rPr>
          <w:noProof/>
        </w:rPr>
        <w:t>7</w:t>
      </w:r>
      <w:r w:rsidR="00135E52">
        <w:rPr>
          <w:noProof/>
        </w:rPr>
        <w:fldChar w:fldCharType="end"/>
      </w:r>
      <w:r>
        <w:t xml:space="preserve"> Procentowy rozkład istniejącej instalacji</w:t>
      </w:r>
      <w:r w:rsidRPr="00B763A5">
        <w:t xml:space="preserve"> wykorzystywane</w:t>
      </w:r>
      <w:r>
        <w:t>j</w:t>
      </w:r>
      <w:r w:rsidRPr="00B763A5">
        <w:t xml:space="preserve"> do indywidualnego ogrzewania </w:t>
      </w:r>
      <w:r>
        <w:t>budynków</w:t>
      </w:r>
      <w:r w:rsidRPr="00B763A5">
        <w:t xml:space="preserve"> w Mieście Mława. Dane na podstawie ankietyzacji przeprowadzonej wśród gospodarstw domowych.</w:t>
      </w:r>
      <w:bookmarkEnd w:id="163"/>
    </w:p>
    <w:p w:rsidR="007319F8" w:rsidRDefault="007319F8" w:rsidP="007319F8">
      <w:r>
        <w:t xml:space="preserve">Przeważająca większość ankietyzowanych budynków wyposażona jest w centralne ogrzewanie, co stanowi prawie 92%. Pozostałe budynki wyposażone są w ogrzewanie pokojowe. </w:t>
      </w:r>
    </w:p>
    <w:p w:rsidR="007319F8" w:rsidRDefault="007319F8" w:rsidP="00DE09A6">
      <w:pPr>
        <w:keepNext/>
        <w:jc w:val="center"/>
      </w:pPr>
      <w:r>
        <w:rPr>
          <w:noProof/>
          <w:lang w:eastAsia="pl-PL"/>
        </w:rPr>
        <w:lastRenderedPageBreak/>
        <w:drawing>
          <wp:inline distT="0" distB="0" distL="0" distR="0">
            <wp:extent cx="4572000" cy="2743200"/>
            <wp:effectExtent l="0" t="0" r="0" b="0"/>
            <wp:docPr id="9" name="Wykres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0EA32E-B5FB-4B11-AC00-5A371A887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19F8" w:rsidRDefault="007319F8" w:rsidP="007319F8">
      <w:pPr>
        <w:pStyle w:val="Legenda"/>
      </w:pPr>
      <w:bookmarkStart w:id="164" w:name="_Toc535786974"/>
      <w:r>
        <w:t xml:space="preserve">Wykres </w:t>
      </w:r>
      <w:r w:rsidR="00135E52">
        <w:rPr>
          <w:noProof/>
        </w:rPr>
        <w:fldChar w:fldCharType="begin"/>
      </w:r>
      <w:r w:rsidR="00CE339D">
        <w:rPr>
          <w:noProof/>
        </w:rPr>
        <w:instrText xml:space="preserve"> SEQ Wykres \* ARABIC </w:instrText>
      </w:r>
      <w:r w:rsidR="00135E52">
        <w:rPr>
          <w:noProof/>
        </w:rPr>
        <w:fldChar w:fldCharType="separate"/>
      </w:r>
      <w:r w:rsidR="00AD136C">
        <w:rPr>
          <w:noProof/>
        </w:rPr>
        <w:t>8</w:t>
      </w:r>
      <w:r w:rsidR="00135E52">
        <w:rPr>
          <w:noProof/>
        </w:rPr>
        <w:fldChar w:fldCharType="end"/>
      </w:r>
      <w:r>
        <w:t xml:space="preserve"> Deklarowana chęć modernizacji kotłowni</w:t>
      </w:r>
      <w:r w:rsidR="00AA1691">
        <w:t xml:space="preserve"> na podstawie danych ankietowych</w:t>
      </w:r>
      <w:r w:rsidR="001736C0">
        <w:t xml:space="preserve">w kolejnych latach przeprowadzania PONE </w:t>
      </w:r>
      <w:r>
        <w:t>w przypadku możliwości uzyskania dofinansowania.</w:t>
      </w:r>
      <w:r w:rsidR="001736C0" w:rsidRPr="00B763A5">
        <w:t>Dane na podstawie ankietyzacji przeprowadzonej wśród gospodarstw domowych.</w:t>
      </w:r>
      <w:bookmarkEnd w:id="164"/>
    </w:p>
    <w:p w:rsidR="001736C0" w:rsidRDefault="001736C0" w:rsidP="001736C0">
      <w:r>
        <w:t>Przeważająca większość mieszkańców (ponad 58%) w przypadku uzyskania dofinansowania w</w:t>
      </w:r>
      <w:r w:rsidR="001E5C9E">
        <w:t> </w:t>
      </w:r>
      <w:r>
        <w:t xml:space="preserve">postaci środków pozwalających na modernizację przydomowych kotłowni deklaruje chcę wymiany kotła już w 2019 roku. Świadczy to o woli mieszkańców Mławy do przedsięwzięcia działań prowadzących do zmniejszenia niskiej emisji na terenie Miasta. Ponad 17% ankietowanych planuje wymianę pieca na rok 2020. Łącznie stanowiłoby to w ponad ¾ zrealizowanie działań zaplanowanych w PONE już w pierwszych dwóch latach, w przypadku najbardziej optymistycznego scenariusza. Czynnikiem mogącym wpływać ograniczająca są niedostateczne fundusze własne w budżecie Miasta Mławy na zrealizowanie tak licznych działań naprawczych, co wymusza pozyskiwanie dofinansowania ze środków zewnętrznych. </w:t>
      </w:r>
    </w:p>
    <w:p w:rsidR="00AA1691" w:rsidRDefault="00DE65CB" w:rsidP="00DE09A6">
      <w:pPr>
        <w:keepNext/>
        <w:jc w:val="center"/>
      </w:pPr>
      <w:r>
        <w:rPr>
          <w:noProof/>
          <w:lang w:eastAsia="pl-PL"/>
        </w:rPr>
        <w:lastRenderedPageBreak/>
        <w:drawing>
          <wp:inline distT="0" distB="0" distL="0" distR="0">
            <wp:extent cx="5760720" cy="5283200"/>
            <wp:effectExtent l="0" t="0" r="11430" b="12700"/>
            <wp:docPr id="448" name="Wykres 4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B8FC35-6996-4AE3-9C02-06A25CD00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65CB" w:rsidRDefault="00AA1691" w:rsidP="00AA1691">
      <w:pPr>
        <w:pStyle w:val="Legenda"/>
      </w:pPr>
      <w:bookmarkStart w:id="165" w:name="_Toc535786975"/>
      <w:r>
        <w:t xml:space="preserve">Wykres </w:t>
      </w:r>
      <w:r w:rsidR="00135E52">
        <w:rPr>
          <w:noProof/>
        </w:rPr>
        <w:fldChar w:fldCharType="begin"/>
      </w:r>
      <w:r w:rsidR="00CE339D">
        <w:rPr>
          <w:noProof/>
        </w:rPr>
        <w:instrText xml:space="preserve"> SEQ Wykres \* ARABIC </w:instrText>
      </w:r>
      <w:r w:rsidR="00135E52">
        <w:rPr>
          <w:noProof/>
        </w:rPr>
        <w:fldChar w:fldCharType="separate"/>
      </w:r>
      <w:r w:rsidR="00AD136C">
        <w:rPr>
          <w:noProof/>
        </w:rPr>
        <w:t>9</w:t>
      </w:r>
      <w:r w:rsidR="00135E52">
        <w:rPr>
          <w:noProof/>
        </w:rPr>
        <w:fldChar w:fldCharType="end"/>
      </w:r>
      <w:r w:rsidRPr="00AA1691">
        <w:t xml:space="preserve">Deklarowana chęć </w:t>
      </w:r>
      <w:r>
        <w:t xml:space="preserve">rzeczowa </w:t>
      </w:r>
      <w:r w:rsidRPr="00AA1691">
        <w:t>modernizacji kotłowni na podstawie danych ankietowyc</w:t>
      </w:r>
      <w:r>
        <w:t xml:space="preserve">h. </w:t>
      </w:r>
      <w:r w:rsidRPr="00A05400">
        <w:t>Dane na podstawie ankietyzacji przeprowadzonej wśród gospodarstw domowych.</w:t>
      </w:r>
      <w:bookmarkEnd w:id="165"/>
    </w:p>
    <w:p w:rsidR="00AA1691" w:rsidRDefault="00AA1691" w:rsidP="00AA1691">
      <w:r>
        <w:t>Najwięcej badanych chciałby przystąpić do zainstalowania kotłów gazowych (64%). Spora część badanych gospodarstw domowych zadeklarowała chęć przyłączenia do sieci PEC, co z kolei nie jest możliwe we wszystkich przypadkach</w:t>
      </w:r>
      <w:r w:rsidR="00B61577">
        <w:t>. Jest to spowodowane</w:t>
      </w:r>
      <w:r>
        <w:t xml:space="preserve"> plan</w:t>
      </w:r>
      <w:r w:rsidR="00B61577">
        <w:t>ami</w:t>
      </w:r>
      <w:r>
        <w:t xml:space="preserve"> rozwojow</w:t>
      </w:r>
      <w:r w:rsidR="00B61577">
        <w:t>ymi</w:t>
      </w:r>
      <w:r>
        <w:t xml:space="preserve"> sieci ciepłowniczej</w:t>
      </w:r>
      <w:r w:rsidR="00B61577">
        <w:t>, które nie obejmują obszarów, wskazywanych przez niewielką część ankietowanych mieszkańców</w:t>
      </w:r>
      <w:r w:rsidR="00421B3E">
        <w:t xml:space="preserve"> (co uzasadnione jest wysokimi nakładami finansowymi i nierentownością inwestycji dla pojedynczych przypadków). </w:t>
      </w:r>
      <w:r>
        <w:t xml:space="preserve">Powyższe preferencje mieszkańców Mławy zostały także uwzględnione w tworzeniu efektu rzeczowego PONE. </w:t>
      </w:r>
    </w:p>
    <w:p w:rsidR="00566DB4" w:rsidRPr="00AA1691" w:rsidRDefault="00566DB4" w:rsidP="00AA1691"/>
    <w:p w:rsidR="00B0223A" w:rsidRDefault="00B0223A" w:rsidP="00B0223A">
      <w:pPr>
        <w:pStyle w:val="Styl1"/>
        <w:spacing w:line="360" w:lineRule="auto"/>
      </w:pPr>
      <w:bookmarkStart w:id="166" w:name="_Toc535233345"/>
      <w:r>
        <w:lastRenderedPageBreak/>
        <w:t>6. ANALIZA TECHNICZNO-EKONOMICZNA PRZEDSIĘWZIĘĆ REDUKCJI EMISJI</w:t>
      </w:r>
      <w:bookmarkEnd w:id="158"/>
      <w:bookmarkEnd w:id="159"/>
      <w:bookmarkEnd w:id="160"/>
      <w:bookmarkEnd w:id="166"/>
    </w:p>
    <w:p w:rsidR="00B0223A" w:rsidRDefault="00B0223A" w:rsidP="00B0223A">
      <w:pPr>
        <w:pStyle w:val="Styl2"/>
        <w:spacing w:line="360" w:lineRule="auto"/>
      </w:pPr>
      <w:bookmarkStart w:id="167" w:name="_Toc524936081"/>
      <w:bookmarkStart w:id="168" w:name="_Toc528140068"/>
      <w:bookmarkStart w:id="169" w:name="_Toc528749859"/>
      <w:bookmarkStart w:id="170" w:name="_Toc535233346"/>
      <w:r>
        <w:t>6.1 Zakres analizowanych przedsięwzięć</w:t>
      </w:r>
      <w:bookmarkEnd w:id="167"/>
      <w:bookmarkEnd w:id="168"/>
      <w:bookmarkEnd w:id="169"/>
      <w:bookmarkEnd w:id="170"/>
    </w:p>
    <w:p w:rsidR="00B0223A" w:rsidRDefault="00B0223A" w:rsidP="00B0223A">
      <w:r>
        <w:t>Zgodnie z założeniami, podstawowym kierunkiem, jaki postawiono przed Programem Ogranicz</w:t>
      </w:r>
      <w:r w:rsidR="007861DB">
        <w:t>a</w:t>
      </w:r>
      <w:r>
        <w:t xml:space="preserve">nia Niskiej Emisji jest wymiana starych pieców i kotłów o niskiej sprawności, wykorzystujących paliwa stałe na inne możliwe źródła ciepła. Ponadto, w zakres rozwiązań przyczyniających się do zmniejszenia emisji zanieczyszczeń, poprzez ograniczenie zużycia paliw, włączona jest szeroko pojęta termomodernizacja budynków, w zakres której wchodzą głównie: </w:t>
      </w:r>
    </w:p>
    <w:p w:rsidR="00B0223A" w:rsidRDefault="00B0223A" w:rsidP="00AA7DC0">
      <w:pPr>
        <w:pStyle w:val="Akapitzlist"/>
        <w:numPr>
          <w:ilvl w:val="0"/>
          <w:numId w:val="28"/>
        </w:numPr>
        <w:spacing w:before="0" w:after="160"/>
      </w:pPr>
      <w:r>
        <w:t>wymiana okien;</w:t>
      </w:r>
    </w:p>
    <w:p w:rsidR="00B0223A" w:rsidRDefault="00B0223A" w:rsidP="00AA7DC0">
      <w:pPr>
        <w:pStyle w:val="Akapitzlist"/>
        <w:numPr>
          <w:ilvl w:val="0"/>
          <w:numId w:val="28"/>
        </w:numPr>
        <w:spacing w:before="0" w:after="160"/>
      </w:pPr>
      <w:r>
        <w:t>ocieplenie ścian;</w:t>
      </w:r>
    </w:p>
    <w:p w:rsidR="00B0223A" w:rsidRDefault="00B0223A" w:rsidP="00AA7DC0">
      <w:pPr>
        <w:pStyle w:val="Akapitzlist"/>
        <w:numPr>
          <w:ilvl w:val="0"/>
          <w:numId w:val="28"/>
        </w:numPr>
        <w:spacing w:before="0" w:after="160"/>
      </w:pPr>
      <w:r>
        <w:t xml:space="preserve">ocieplenie stropodachu (dachu). </w:t>
      </w:r>
    </w:p>
    <w:p w:rsidR="00B0223A" w:rsidRDefault="00B0223A" w:rsidP="00B0223A">
      <w:r>
        <w:t>Innym skutecznym sposobem na ograniczenie emisji ze spalania paliw jest zastosowanie odnawialnych źródeł energii.</w:t>
      </w:r>
    </w:p>
    <w:p w:rsidR="00B0223A" w:rsidRPr="00485AB3" w:rsidRDefault="00B0223A" w:rsidP="00B0223A">
      <w:pPr>
        <w:rPr>
          <w:b/>
        </w:rPr>
      </w:pPr>
      <w:r w:rsidRPr="00485AB3">
        <w:rPr>
          <w:b/>
        </w:rPr>
        <w:t>Wymiana źródeł ciepła</w:t>
      </w:r>
    </w:p>
    <w:p w:rsidR="00B0223A" w:rsidRDefault="00B0223A" w:rsidP="00B0223A">
      <w:r>
        <w:t>Jednym z najbardziej efektywnych pod względem energetycznym (przy stosunkowo niskich kosztach inwestycyjnych), przedsięwzięć jest wymiana źródła ciepła. Montaż urządzenia o</w:t>
      </w:r>
      <w:r w:rsidR="001E5C9E">
        <w:t> </w:t>
      </w:r>
      <w:r>
        <w:t>wyższej sprawności wytwarzania prowadzi do obniżenia zużycia energii zawartej w paliwie. Często jednak zdarza się, że zmniejszenie ilości wykorzystywanego paliwa może nie iść w parze z obniżeniem kosztów ogrzewania, w szczególności przy zmianie nośnika energii np. węgla na bardziej ekologiczne, ale również droższe paliwo (gaz ziemny, olej opałowy, pellet). Inwestor decydując się na wymianę źródła ciepła będzie więc kierował się przede wszystkim ostateczną ceną nośnika, w przeciwieństwie do samorządu, który podejmując decyzję o wsparciu finansowym mieszkańców, będzie miał na uwadze przede wszystkim możliwy do osiągnięcia efekt ekologiczny. Jakkolwiek, ostateczny wybór źródła ciepła będzie należeć do uczestnika Programu.</w:t>
      </w:r>
    </w:p>
    <w:p w:rsidR="00B0223A" w:rsidRPr="00485AB3" w:rsidRDefault="00B0223A" w:rsidP="00B0223A">
      <w:pPr>
        <w:rPr>
          <w:b/>
        </w:rPr>
      </w:pPr>
      <w:r w:rsidRPr="00485AB3">
        <w:rPr>
          <w:b/>
        </w:rPr>
        <w:t>Kotły węglowe z automatycznym podawaniem paliwa</w:t>
      </w:r>
    </w:p>
    <w:p w:rsidR="00B0223A" w:rsidRDefault="00B0223A" w:rsidP="00B0223A">
      <w:r>
        <w:lastRenderedPageBreak/>
        <w:t>Alternatywą w stosunku do tradycyjnych kotłów węglowych są nowoczesne źródła ciepła zasilane węglem kamiennym lub miałem węglowym z automatycznym podawaniem paliwa. Obecnie na rynku oferowane są dwa rodzaje kotłów:</w:t>
      </w:r>
    </w:p>
    <w:p w:rsidR="00B0223A" w:rsidRDefault="00B0223A" w:rsidP="00AA7DC0">
      <w:pPr>
        <w:pStyle w:val="Akapitzlist"/>
        <w:numPr>
          <w:ilvl w:val="0"/>
          <w:numId w:val="27"/>
        </w:numPr>
        <w:spacing w:before="0" w:after="160"/>
      </w:pPr>
      <w:r>
        <w:t>Z palnikiem retortowym – są to kotły, w których węgiel podawany jest do strefy spalania od dołu za pomocą specjalnego „ślimaka”. Zaletą zastosowania tego rozwiązania jest to, że spaleniu ulega jedynie wierzchnia warstwa paliwa, co odpowiada za „czyste spalanie” – całość substancji lotnych przechodzi przez żar i ulega spaleniu. Do wad omawianego rozwiązania z uwagi na możliwość zablokowania „ślimaka” należy konieczność stosowania węgla o stosunkowo niewielkich rozmiarach.</w:t>
      </w:r>
    </w:p>
    <w:p w:rsidR="00B0223A" w:rsidRDefault="00B0223A" w:rsidP="00AA7DC0">
      <w:pPr>
        <w:pStyle w:val="Akapitzlist"/>
        <w:numPr>
          <w:ilvl w:val="0"/>
          <w:numId w:val="27"/>
        </w:numPr>
        <w:spacing w:before="0" w:after="160"/>
      </w:pPr>
      <w:r>
        <w:t>Z podajnikiem tłokowym – są to kotły, w których węgiel podawany jest na nieduży ruszt za pomocą tłoka. Ten typ urządzenia, z uwagi na konstrukcję paleniska (popiół odprowadzany jest przez ruszt do szuflady znajdującej się poniżej) stanowi prymitywniejsze rozwiązanie niż w przypadku kotła retortowego. Co więcej, z uwagi na fakt, że substancje lotne nie mają kontaktu z żarem, dochodzi do wydzielania dużej ilości sadzy. Zaletą tego typu rozwiązania jest wysoka odporność na nieregularny kształt i rozmiar dozowanego paliwa.</w:t>
      </w:r>
    </w:p>
    <w:p w:rsidR="00B0223A" w:rsidRDefault="00B0223A" w:rsidP="00B0223A">
      <w:r>
        <w:t>Kotłownie pracujące w oparciu o powyższe źródła ciepła są w pełni zautomatyzowane, a ich obsługa ogranicza się do uzupełnienia zasobnika węglowego (w zależności od potrzeb średnio co ok. 3-6 dni). Za montażem nowoczesnych kotłów przemawia również niska ilość popiołów oraz dokładność dozowania paliwa, zgodnie z zapotrzebowaniem niezbędnym do utrzymania optymalnego komfortu cieplnego. Nowoczesne źródła ciepła, z uwagi na swoją konstrukcję, uniemożliwiają spalanie w piecach niskogatunkowych paliw oraz odpadów pochodzenia komunalnego, co ma znaczenie dla ogranicz</w:t>
      </w:r>
      <w:r w:rsidR="007861DB">
        <w:t>a</w:t>
      </w:r>
      <w:r>
        <w:t>nia niekontrolowanych emisji związków silnie toksycznych, mutagennych i kancerogennych (w tym m.in. benzo(a)pirenu, dioksyn i furanów, wielopierścieniowych węglowodorów aromatycznych). W wielu urządzeniach producenci dopuszczają spalanie biomasy, ale tylko w formie odpowiednio przygotowanych pelletów. Obecnie producenci oferują kotły o mocy z przedziału od 8 kW do 1,5 MW o sprawności sięgającej nawet 90%. Pomimo wysokich kosztów inwestycyjnych związanych z montażem urządzenia i dostosowaniem pomieszczenia kotłowni oraz wysokich cen wysokogatunkowego paliwa, koszt wytworzenia jednostki energii jest ok. 25% niższy od ogrzewania za pomocą tradycyjnych kotłów.</w:t>
      </w:r>
    </w:p>
    <w:p w:rsidR="00B0223A" w:rsidRDefault="00B0223A" w:rsidP="00B0223A">
      <w:r>
        <w:lastRenderedPageBreak/>
        <w:t>Od 2014 r. w Polsce obowiązuje norma PN-EN 303-5:2012 dotycząca kotłów grzewczych na paliwa stałe z ręcznym i automatycznym zasypem paliwa o mocy nominalnej do 0,5 MW. Wyróżnia ona trzy klasy kotłów (3, 4, 5) pod względem sprawności cieplnej i granicznych wartości emisji zanieczyszczeń, przy czym najbardziej rygorystyczna pod względem emisyjności jest klasa 5. Jej uzyskanie jest warunkowane spełnieniem jednocześnie wszystkich dopuszczalnych wartości emisji oraz osiągnięciem sprawności na żądanym poziomie.</w:t>
      </w:r>
    </w:p>
    <w:p w:rsidR="00B0223A" w:rsidRDefault="00B0223A" w:rsidP="00B0223A">
      <w:r>
        <w:t>Kotły spełniające wymagania 5 klasy posiadają również specjalną konstrukcję, odróżniającą je od kotłów zaliczanych do 3 i 4 klasy. Ich cechą charakterystyczną jest rozbudowana powierzchnia przy odpowiednio skonstruowanych kanałach spalinowych. W związku z</w:t>
      </w:r>
      <w:r w:rsidR="001E5C9E">
        <w:t> </w:t>
      </w:r>
      <w:r>
        <w:t>powyższym, kotły takie są zwykle zdecydowanie większe niż ich odpowiedniki o tej samej mocy zaliczane do niższych klas.</w:t>
      </w:r>
    </w:p>
    <w:p w:rsidR="00B0223A" w:rsidRDefault="00B0223A" w:rsidP="00B0223A">
      <w:pPr>
        <w:keepNext/>
        <w:jc w:val="center"/>
      </w:pPr>
      <w:r>
        <w:rPr>
          <w:noProof/>
          <w:lang w:eastAsia="pl-PL"/>
        </w:rPr>
        <w:drawing>
          <wp:inline distT="0" distB="0" distL="0" distR="0">
            <wp:extent cx="4219575" cy="3572574"/>
            <wp:effectExtent l="0" t="0" r="0" b="8890"/>
            <wp:docPr id="16" name="Obraz 16" descr="http://czysteogrzewanie.pl/wp-content/uploads/2014/09/303_5_2012_kry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ysteogrzewanie.pl/wp-content/uploads/2014/09/303_5_2012_kryteria.jpg"/>
                    <pic:cNvPicPr>
                      <a:picLocks noChangeAspect="1" noChangeArrowheads="1"/>
                    </pic:cNvPicPr>
                  </pic:nvPicPr>
                  <pic:blipFill>
                    <a:blip r:embed="rId32" cstate="print">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2719" cy="3575236"/>
                    </a:xfrm>
                    <a:prstGeom prst="rect">
                      <a:avLst/>
                    </a:prstGeom>
                    <a:noFill/>
                    <a:ln>
                      <a:noFill/>
                    </a:ln>
                  </pic:spPr>
                </pic:pic>
              </a:graphicData>
            </a:graphic>
          </wp:inline>
        </w:drawing>
      </w:r>
    </w:p>
    <w:p w:rsidR="00B0223A" w:rsidRDefault="00B0223A" w:rsidP="00B0223A">
      <w:pPr>
        <w:pStyle w:val="Legenda"/>
        <w:jc w:val="left"/>
      </w:pPr>
      <w:bookmarkStart w:id="171" w:name="_Toc528140035"/>
      <w:bookmarkStart w:id="172" w:name="_Toc530138963"/>
      <w:bookmarkStart w:id="173" w:name="_Toc532369584"/>
      <w:r>
        <w:t xml:space="preserve">Rysunek </w:t>
      </w:r>
      <w:r w:rsidR="00135E52">
        <w:rPr>
          <w:noProof/>
        </w:rPr>
        <w:fldChar w:fldCharType="begin"/>
      </w:r>
      <w:r>
        <w:rPr>
          <w:noProof/>
        </w:rPr>
        <w:instrText xml:space="preserve"> SEQ Rysunek \* ARABIC </w:instrText>
      </w:r>
      <w:r w:rsidR="00135E52">
        <w:rPr>
          <w:noProof/>
        </w:rPr>
        <w:fldChar w:fldCharType="separate"/>
      </w:r>
      <w:r w:rsidR="00AD136C">
        <w:rPr>
          <w:noProof/>
        </w:rPr>
        <w:t>11</w:t>
      </w:r>
      <w:r w:rsidR="00135E52">
        <w:rPr>
          <w:noProof/>
        </w:rPr>
        <w:fldChar w:fldCharType="end"/>
      </w:r>
      <w:r w:rsidRPr="00544EF4">
        <w:t>Standardy emisyjne dla kotłów grzewczych</w:t>
      </w:r>
      <w:r>
        <w:t>.</w:t>
      </w:r>
      <w:bookmarkEnd w:id="171"/>
      <w:bookmarkEnd w:id="172"/>
      <w:bookmarkEnd w:id="173"/>
    </w:p>
    <w:p w:rsidR="00B0223A" w:rsidRDefault="00B0223A" w:rsidP="007B4D71">
      <w:pPr>
        <w:jc w:val="right"/>
        <w:rPr>
          <w:i/>
        </w:rPr>
      </w:pPr>
      <w:r w:rsidRPr="00266881">
        <w:rPr>
          <w:i/>
        </w:rPr>
        <w:t>Źródło: norma PN-EN 303-5:2012</w:t>
      </w:r>
    </w:p>
    <w:p w:rsidR="00B0223A" w:rsidRPr="00485AB3" w:rsidRDefault="00B0223A" w:rsidP="00B0223A">
      <w:pPr>
        <w:rPr>
          <w:b/>
        </w:rPr>
      </w:pPr>
      <w:r w:rsidRPr="00485AB3">
        <w:rPr>
          <w:b/>
        </w:rPr>
        <w:t>Kotły gazowe</w:t>
      </w:r>
    </w:p>
    <w:p w:rsidR="00B0223A" w:rsidRDefault="00B0223A" w:rsidP="00B0223A">
      <w:r>
        <w:t xml:space="preserve">Kotły gazowe służące do celów grzewczych są urządzeniami o wysokiej sprawności energetycznej. Niewątpliwie, ogrzewanie obiektu za pomocą kotła gazowego należy do najwygodniejszych z punktu widzenia jego bezobsługowej pracy. Na polskim rynku istnieją </w:t>
      </w:r>
      <w:r>
        <w:lastRenderedPageBreak/>
        <w:t>kotły pełniące różne funkcje, różniące się budową oraz zasadą działania. Wobec powyższych można wyróżnić kilka metod ich klasyfikacji:</w:t>
      </w:r>
    </w:p>
    <w:p w:rsidR="00B0223A" w:rsidRDefault="00B0223A" w:rsidP="00B0223A">
      <w:r>
        <w:t>Ze względu na funkcje wyróżnia się:</w:t>
      </w:r>
    </w:p>
    <w:p w:rsidR="00B0223A" w:rsidRDefault="00B0223A" w:rsidP="00AA7DC0">
      <w:pPr>
        <w:pStyle w:val="Akapitzlist"/>
        <w:numPr>
          <w:ilvl w:val="0"/>
          <w:numId w:val="29"/>
        </w:numPr>
        <w:spacing w:before="0" w:after="160"/>
      </w:pPr>
      <w:r>
        <w:t>Kotły jednofunkcyjne, służące wyłącznie do ogrzewania pomieszczeń (mogą być one jednak rozbudowane o zasobnik ciepłej wody użytkowej),</w:t>
      </w:r>
    </w:p>
    <w:p w:rsidR="00B0223A" w:rsidRDefault="00B0223A" w:rsidP="00AA7DC0">
      <w:pPr>
        <w:pStyle w:val="Akapitzlist"/>
        <w:numPr>
          <w:ilvl w:val="0"/>
          <w:numId w:val="29"/>
        </w:numPr>
        <w:spacing w:before="0" w:after="160"/>
      </w:pPr>
      <w:r>
        <w:t>Kotły dwufunkcyjne, które służą do ogrzewania pomieszczeń jak i do przygotowania ciepłej wody użytkowej (w okresie letnim pracują tylko w tym celu). Kotły te pracują w</w:t>
      </w:r>
      <w:r w:rsidR="001E5C9E">
        <w:t> </w:t>
      </w:r>
      <w:r>
        <w:t>oparciu o priorytet c.w.u. tzn. w trakcie, gdy następuje pobór wody, funkcja c.o. zostaje czasowo wyłączona.</w:t>
      </w:r>
    </w:p>
    <w:p w:rsidR="00B0223A" w:rsidRDefault="00B0223A" w:rsidP="00B0223A">
      <w:r>
        <w:t>Ze względu na rozwiązanie techniczne wyróżnia się:</w:t>
      </w:r>
    </w:p>
    <w:p w:rsidR="00B0223A" w:rsidRDefault="00B0223A" w:rsidP="00AA7DC0">
      <w:pPr>
        <w:pStyle w:val="Akapitzlist"/>
        <w:numPr>
          <w:ilvl w:val="0"/>
          <w:numId w:val="30"/>
        </w:numPr>
        <w:spacing w:before="0" w:after="160"/>
      </w:pPr>
      <w:r>
        <w:t>Kotły stojące,</w:t>
      </w:r>
    </w:p>
    <w:p w:rsidR="00B0223A" w:rsidRDefault="00B0223A" w:rsidP="00AA7DC0">
      <w:pPr>
        <w:pStyle w:val="Akapitzlist"/>
        <w:numPr>
          <w:ilvl w:val="0"/>
          <w:numId w:val="30"/>
        </w:numPr>
        <w:spacing w:before="0" w:after="160"/>
      </w:pPr>
      <w:r>
        <w:t>Kotły wiszące.</w:t>
      </w:r>
    </w:p>
    <w:p w:rsidR="00B0223A" w:rsidRDefault="00B0223A" w:rsidP="00B0223A">
      <w:r>
        <w:t>Ze względu na konstrukcję komory spalania wyróżnia się:</w:t>
      </w:r>
    </w:p>
    <w:p w:rsidR="00B0223A" w:rsidRDefault="00B0223A" w:rsidP="00AA7DC0">
      <w:pPr>
        <w:pStyle w:val="Akapitzlist"/>
        <w:numPr>
          <w:ilvl w:val="0"/>
          <w:numId w:val="31"/>
        </w:numPr>
        <w:spacing w:before="0" w:after="160"/>
      </w:pPr>
      <w:r>
        <w:t>Kotły z otwartą komorą – charakteryzują się tym, że powietrze do procesu spalania pobierane jest z pomieszczenia, w którym się ten kocioł znajduje,</w:t>
      </w:r>
    </w:p>
    <w:p w:rsidR="00B0223A" w:rsidRDefault="00B0223A" w:rsidP="00AA7DC0">
      <w:pPr>
        <w:pStyle w:val="Akapitzlist"/>
        <w:numPr>
          <w:ilvl w:val="0"/>
          <w:numId w:val="31"/>
        </w:numPr>
        <w:spacing w:before="0" w:after="160"/>
      </w:pPr>
      <w:r>
        <w:t>Kotły z zamkniętą komorą – pobór powietrza odbywa się rurą podwójną (rura w rurze) lub dwoma niezależnymi rurami z zewnątrz budynku.</w:t>
      </w:r>
    </w:p>
    <w:p w:rsidR="00B0223A" w:rsidRDefault="00B0223A" w:rsidP="00B0223A">
      <w:r>
        <w:t>Ze względu na sprawność:</w:t>
      </w:r>
    </w:p>
    <w:p w:rsidR="00B0223A" w:rsidRDefault="00B0223A" w:rsidP="00AA7DC0">
      <w:pPr>
        <w:pStyle w:val="Akapitzlist"/>
        <w:numPr>
          <w:ilvl w:val="0"/>
          <w:numId w:val="31"/>
        </w:numPr>
        <w:spacing w:before="0" w:after="160"/>
      </w:pPr>
      <w:r>
        <w:t>Kotły tradycyjne – osiągające niższe wartości sprawności w porównaniu do kotłów kondensacyjnych,</w:t>
      </w:r>
    </w:p>
    <w:p w:rsidR="00B0223A" w:rsidRDefault="00B0223A" w:rsidP="00AA7DC0">
      <w:pPr>
        <w:pStyle w:val="Akapitzlist"/>
        <w:numPr>
          <w:ilvl w:val="0"/>
          <w:numId w:val="31"/>
        </w:numPr>
        <w:spacing w:before="0" w:after="160"/>
      </w:pPr>
      <w:r>
        <w:t>Kotły kondensacyjne – cechują się wyższą sprawnością, uzyskiwaną poprzez dodatkowe wykorzystanie ciepła ze skroplenia pary wodnej zawartej w odprowadzanych spalinach (kondensacja). Zjawisko to odpowiada również za zmniejszenie emisji zanieczyszczeń w odprowadzanych gazach odlotowych.</w:t>
      </w:r>
    </w:p>
    <w:p w:rsidR="00B0223A" w:rsidRDefault="00B0223A" w:rsidP="00B0223A">
      <w:r>
        <w:t xml:space="preserve">Istotną wadą omawianych kotłów jest wysoka cena za m3 gazu, co bardzo często zniechęca potencjalnych użytkowników do zainstalowania tego typu urządzenia w budynku mieszkalnym. </w:t>
      </w:r>
    </w:p>
    <w:p w:rsidR="00B0223A" w:rsidRDefault="00B0223A" w:rsidP="00B0223A">
      <w:r>
        <w:lastRenderedPageBreak/>
        <w:t>Na obszarach, na których nie występuje sieć gazowa, istnieje możliwość zastosowania kotłów zasilanych gazem ciekłym. Istotnym „minusem” takiego rozwiązania jest konieczność magazynowania paliwa w odpowiednio przystosowanych do tego celu zbiornikach.</w:t>
      </w:r>
    </w:p>
    <w:p w:rsidR="00B0223A" w:rsidRPr="00216C17" w:rsidRDefault="00B0223A" w:rsidP="00B0223A">
      <w:pPr>
        <w:rPr>
          <w:b/>
        </w:rPr>
      </w:pPr>
      <w:r w:rsidRPr="00216C17">
        <w:rPr>
          <w:b/>
        </w:rPr>
        <w:t>Kotły na pellet drzewny</w:t>
      </w:r>
    </w:p>
    <w:p w:rsidR="00B0223A" w:rsidRDefault="00B0223A" w:rsidP="00B0223A">
      <w:r>
        <w:t>Kotły na pellety drzewne są to urządzenia wyposażone w specjalne palniki zintegrowane z</w:t>
      </w:r>
      <w:r w:rsidR="001E5C9E">
        <w:t> </w:t>
      </w:r>
      <w:r>
        <w:t>korpusami kotłów, z wentylatorami regulowanymi falownikiem, z pełną automatyzacją, umożliwiające spalanie w nich pelletów (granulowanego paliwa). Są to nowoczesne urządzenia w aspekcie automatyki i sterowania oraz wysokiej sprawności i efektywności. Jednostka centralna steruje wszystkimi procesami zachodzącymi w kotle, związanymi ze spalaniem tj. doprowadzeniem paliwa i powietrza w sposób jednostajny, odprowadzeniem spalin, oczyszczaniem wymienników oraz palnika. Kotły takie pracują płynnie w zakresie mocy od ok. 30 do 100%; charakteryzują się wysoką sprawnością sięgającą 92% oraz niską emisyjnością substancji szkodliwych i pyłów. Paliwo uzupełnia się co kilka dni, tym rzadziej, im większy jest zasobnik. Podobnie jak w przypadku kotłów węglowych, urządzenia zasilane pelletami powinny również spełniać normy emisyjne oraz wymagania co do sprawności (zgodnie z normą PN-EN-303-5:2012).</w:t>
      </w:r>
    </w:p>
    <w:p w:rsidR="00B0223A" w:rsidRPr="00216C17" w:rsidRDefault="00B0223A" w:rsidP="00B0223A">
      <w:pPr>
        <w:rPr>
          <w:b/>
        </w:rPr>
      </w:pPr>
      <w:r w:rsidRPr="00216C17">
        <w:rPr>
          <w:b/>
        </w:rPr>
        <w:t>Kotły olejowe</w:t>
      </w:r>
    </w:p>
    <w:p w:rsidR="00B0223A" w:rsidRDefault="00B0223A" w:rsidP="00B0223A">
      <w:r>
        <w:t>Kotły olejowe stanowią doskonałą alternatywę w stosunku do kotłów gazowych, w</w:t>
      </w:r>
      <w:r w:rsidR="001E5C9E">
        <w:t> </w:t>
      </w:r>
      <w:r>
        <w:t>szczególności na obszarach, na których nie występuje sieć gazowa. Budowa kotłów olejowych jest bardzo zbliżona do konstrukcji kotłów gazowych. Różnica polega przede wszystkim na rodzaju zastosowanych palników. Sprawność kotłów olejowych dostępnych na polskim rynku sięgają 94%. Urządzenia te występują również w postaci kotłów kondensacyjnych. Uzysk energetyczny jest jednak niższy od tego, jaki można osiągnąć w kotłach opalanych gazem ziemnym. Wynika to przede wszystkim z faktu, że spaliny z procesu spalania oleju zawierają mniejszy udział pary wodnej, niż w przypadku spalin z urządzeń zasilanych gazem ziemnym. Kotłownie olejowe powinny spełniać odpowiednie wymogi budowlane oraz instalacyjne, zgodnie z obowiązującymi normami. Paliwo jest magazynowane w zbiornikach, z których automatycznie dostarczane jest do kotła.</w:t>
      </w:r>
    </w:p>
    <w:p w:rsidR="00B0223A" w:rsidRDefault="00B0223A" w:rsidP="00B0223A">
      <w:r>
        <w:lastRenderedPageBreak/>
        <w:t>Zaletami kotłów olejowych jest możliwość stosowania ich na obszarach nie objętych siecią gazową. Wadą z kolei jest bardzo wysoka cena paliwa oraz konieczność magazynowania oleju w specjalnych zbiornikach.</w:t>
      </w:r>
    </w:p>
    <w:p w:rsidR="00B0223A" w:rsidRPr="00216C17" w:rsidRDefault="00B0223A" w:rsidP="00B0223A">
      <w:pPr>
        <w:spacing w:line="276" w:lineRule="auto"/>
        <w:jc w:val="left"/>
        <w:rPr>
          <w:b/>
        </w:rPr>
      </w:pPr>
      <w:r w:rsidRPr="00216C17">
        <w:rPr>
          <w:b/>
        </w:rPr>
        <w:t>Kotły elektryczne</w:t>
      </w:r>
    </w:p>
    <w:p w:rsidR="00B0223A" w:rsidRDefault="00B0223A" w:rsidP="00B0223A">
      <w:r>
        <w:t>Kotły elektryczne przeznaczone są do instalacji wodnych centralnego ogrzewania. Urządzenia tego typu mają prostą budowę. Źródłem ciepła jest w nich najczęściej grzałka, zabezpieczona przed kontaktem z wodą za pomocą specjalnej osłony. Moc kotła jest zależna od ilości grzałek, jaka się w nim znajduje. Grzałki uruchamiane bądź wyłączane są automatycznie, sekwencyjnie w zależności od aktualnego zapotrzebowania na energię.</w:t>
      </w:r>
    </w:p>
    <w:p w:rsidR="00B0223A" w:rsidRDefault="00B0223A" w:rsidP="00B0223A">
      <w:r>
        <w:t>Kocioł elektryczny jest wygodny w użyciu, nie wymaga komina, nie usuwa się z niego popiołu, a</w:t>
      </w:r>
      <w:r w:rsidR="001E5C9E">
        <w:t> </w:t>
      </w:r>
      <w:r>
        <w:t>także nie stwarza ryzyka zaczadzenia. Zajmuje mało miejsca i można go zamontować w</w:t>
      </w:r>
      <w:r w:rsidR="001E5C9E">
        <w:t> </w:t>
      </w:r>
      <w:r>
        <w:t>dowolnym pomieszczeniu w domu. Proces ten można uzależnić od temperatury wody powrotnej, temperatury w tzw. pomieszczeniu kontrolnym (automatyka pokojowa) lub temperatury panującej na zewnątrz (automatyka pogodowa).</w:t>
      </w:r>
    </w:p>
    <w:p w:rsidR="00B0223A" w:rsidRDefault="00B0223A" w:rsidP="00B0223A">
      <w:r>
        <w:t>Elektroniczne układy sterujące zapewniają pracę kotła w cyklu automatycznym, łatwą obsługę oraz wysoki komfort cieplny w ogrzewanych pomieszczeniach. Na polskim rynku oferowane są w różnych wersjach umożliwiających dobór urządzenia najlepiej dopasowanego do potrzeb użytkownika. Większość z nich to małe i lekkie urządzenia jednofunkcyjne, wiszące. Mogą współpracować z zasobnikiem c.w.u. Są również dostępne kotły stojące, zwykle o dużej mocy i</w:t>
      </w:r>
      <w:r w:rsidR="001E5C9E">
        <w:t> </w:t>
      </w:r>
      <w:r>
        <w:t>z wbudowanym zasobnikiem lub ich tańsze wersje (bez zasobnika c.w.u.). W obu przypadkach mogą działać jako przepływowe (ogrzewając na bieżąco przepływającą wodę) lub akumulacyjne (gromadzą nagrzaną wodę w cieplnie izolowanym zbiorniku o dużej pojemności). Przepływowe nadają się do nowoczesnych instalacji o małej pojemności zładu (wody grzejnej w obiegu).</w:t>
      </w:r>
    </w:p>
    <w:p w:rsidR="00B0223A" w:rsidRDefault="00B0223A" w:rsidP="00B0223A">
      <w:r>
        <w:t>Utrzymanie stałego komfortu cieplnego pomieszczeń osiąga się w nich przez dokładną regulację intensywności ogrzewania. W tradycyjnych instalacjach o dużym zładzie najlepiej sprawdza się zbiornik akumulacyjny. Stałość temperatury osiąga się w tym przypadku dzięki dużej bezwładności cieplnej układu. Kocioł taki kosztuje zwykle znacznie więcej niż przepływowy, jednakże nakłady eksploatacyjne są niższe, m.in. dzięki możliwości dziennego wykorzystywania ciepła zmagazynowanego nocą, kiedy obowiązuje tańsza taryfa.</w:t>
      </w:r>
    </w:p>
    <w:p w:rsidR="00566DB4" w:rsidRDefault="00B0223A" w:rsidP="00B0223A">
      <w:r>
        <w:lastRenderedPageBreak/>
        <w:t>Niewątpliwą zaletą tych kotłów jest brak potrzeby budowy komina, wkładów kominowych oraz adaptacji pomieszczeń kotłowni. Do głównych wad należą wysokie koszty z tytułu zużycia energii elektrycznej.</w:t>
      </w:r>
    </w:p>
    <w:p w:rsidR="00B0223A" w:rsidRPr="00E457E6" w:rsidRDefault="00B0223A" w:rsidP="00B0223A">
      <w:pPr>
        <w:pStyle w:val="Styl2"/>
        <w:spacing w:line="360" w:lineRule="auto"/>
      </w:pPr>
      <w:bookmarkStart w:id="174" w:name="_Toc496520997"/>
      <w:bookmarkStart w:id="175" w:name="_Toc524375255"/>
      <w:bookmarkStart w:id="176" w:name="_Toc524936082"/>
      <w:bookmarkStart w:id="177" w:name="_Toc528140069"/>
      <w:bookmarkStart w:id="178" w:name="_Toc528749860"/>
      <w:bookmarkStart w:id="179" w:name="_Toc535233347"/>
      <w:r w:rsidRPr="00214F4F">
        <w:t>6.2 Dostępne sieciowe nośniki energii</w:t>
      </w:r>
      <w:bookmarkEnd w:id="174"/>
      <w:bookmarkEnd w:id="175"/>
      <w:bookmarkEnd w:id="176"/>
      <w:bookmarkEnd w:id="177"/>
      <w:bookmarkEnd w:id="178"/>
      <w:bookmarkEnd w:id="179"/>
    </w:p>
    <w:p w:rsidR="008F1576" w:rsidRPr="008F1576" w:rsidRDefault="00B0223A" w:rsidP="008F1576">
      <w:pPr>
        <w:rPr>
          <w:rFonts w:eastAsia="Times New Roman" w:cs="Times New Roman"/>
          <w:i/>
        </w:rPr>
      </w:pPr>
      <w:r w:rsidRPr="008F1576">
        <w:t xml:space="preserve">Zaopatrzenie w energię na terenie </w:t>
      </w:r>
      <w:r w:rsidR="00CE339D">
        <w:t xml:space="preserve">Miasta </w:t>
      </w:r>
      <w:r w:rsidRPr="008F1576">
        <w:t xml:space="preserve">Mława na podstawie </w:t>
      </w:r>
      <w:r w:rsidRPr="008F1576">
        <w:rPr>
          <w:rFonts w:eastAsia="Times New Roman" w:cs="Times New Roman"/>
          <w:i/>
        </w:rPr>
        <w:t>„</w:t>
      </w:r>
      <w:r w:rsidR="008F1576" w:rsidRPr="008F1576">
        <w:rPr>
          <w:rFonts w:eastAsia="Times New Roman" w:cs="Times New Roman"/>
          <w:i/>
        </w:rPr>
        <w:t>Założeń do planu zaopatrzenia</w:t>
      </w:r>
    </w:p>
    <w:p w:rsidR="00B0223A" w:rsidRPr="008F1576" w:rsidRDefault="008F1576" w:rsidP="008F1576">
      <w:pPr>
        <w:rPr>
          <w:rFonts w:eastAsia="Times New Roman" w:cs="Times New Roman"/>
          <w:i/>
        </w:rPr>
      </w:pPr>
      <w:r w:rsidRPr="008F1576">
        <w:rPr>
          <w:rFonts w:eastAsia="Times New Roman" w:cs="Times New Roman"/>
          <w:i/>
        </w:rPr>
        <w:t>w ciepło, energię elektryczną i paliwa gazowe dla obszaru Miasta Mława</w:t>
      </w:r>
      <w:r w:rsidR="00B0223A" w:rsidRPr="008F1576">
        <w:rPr>
          <w:rFonts w:eastAsia="Times New Roman" w:cs="Times New Roman"/>
          <w:i/>
        </w:rPr>
        <w:t>”</w:t>
      </w:r>
      <w:r w:rsidR="00B0223A" w:rsidRPr="008F1576">
        <w:rPr>
          <w:rFonts w:eastAsia="Times New Roman" w:cs="Times New Roman"/>
        </w:rPr>
        <w:t>,</w:t>
      </w:r>
      <w:r w:rsidR="00B0223A" w:rsidRPr="008F1576">
        <w:t xml:space="preserve"> prezentuje się w</w:t>
      </w:r>
      <w:r w:rsidR="001E5C9E">
        <w:t> </w:t>
      </w:r>
      <w:r w:rsidR="00B0223A" w:rsidRPr="008F1576">
        <w:t>następujący sposób:</w:t>
      </w:r>
    </w:p>
    <w:p w:rsidR="00B0223A" w:rsidRDefault="00B0223A" w:rsidP="00B0223A">
      <w:pPr>
        <w:rPr>
          <w:b/>
        </w:rPr>
      </w:pPr>
      <w:r w:rsidRPr="00582155">
        <w:rPr>
          <w:b/>
        </w:rPr>
        <w:t>Energia elektryczna</w:t>
      </w:r>
    </w:p>
    <w:p w:rsidR="008F1576" w:rsidRDefault="008F1576" w:rsidP="00B0223A">
      <w:r>
        <w:t>Zasilanie odbiorców na terenie miasta Mława, w układzie normalnym pracy sieci, odbywa się z</w:t>
      </w:r>
      <w:r w:rsidR="001E5C9E">
        <w:t> </w:t>
      </w:r>
      <w:r>
        <w:t>Głównych Punktów Zasilających (GPZ) 110/15 kV: Mława, Olechinek znajdujących się na obszarze miasta Mława. Główne Punkty Zasilające (GPZ) zasilają poza Mławą, również sąsiednie gminy. Teren miasta zasilany jest przez 24 linie SN, dla których w przypadkach awaryjnych, poprzez zmianę podziału sieci, istnieje możliwość zasilania obszaru poprzez inną linię SN.</w:t>
      </w:r>
    </w:p>
    <w:p w:rsidR="008F1576" w:rsidRDefault="008F1576" w:rsidP="00B0223A">
      <w:pPr>
        <w:rPr>
          <w:b/>
        </w:rPr>
      </w:pPr>
      <w:r>
        <w:t>Ogólny stan techniczny urządzeń zasilających teren miasta Mława można określić jako dobry. Na bieżąco prowadzone są prace polegające na wymianie wyeksploatowanych urządzeń na nowe, zmniejszające możliwość wystąpienia awarii. Dodatkowo również prowadzone są działania mające na celu zwiększenie przepustowości linii SN</w:t>
      </w:r>
    </w:p>
    <w:p w:rsidR="00B0223A" w:rsidRDefault="00B0223A" w:rsidP="00B0223A">
      <w:pPr>
        <w:rPr>
          <w:b/>
        </w:rPr>
      </w:pPr>
      <w:r w:rsidRPr="00582155">
        <w:rPr>
          <w:b/>
        </w:rPr>
        <w:t>Gazownictwo</w:t>
      </w:r>
    </w:p>
    <w:p w:rsidR="00774893" w:rsidRDefault="00774893" w:rsidP="00B0223A">
      <w:r>
        <w:t>Operatorem systemu dystrybucyjnego gazu ziemnego na terenie miasta Mława jest Polska Spółka Gazownictwa Sp. z o.o. Oddział Zakład Gazowniczy w Warszawie.</w:t>
      </w:r>
      <w:r w:rsidR="00F55BEF">
        <w:t xml:space="preserve"> Sieć dystrybucyjna średniego ciśnienia na terenie Mławy zasilania jest z sieci wysokiego ciśnienia poprzez 2 stacje redukcyjno-pomiarowe I stopnia „Warszawska” i „Daleka”, a sieć dystrybucyjna niskiego ciśnienia poprzez 4 stacje redukcyjno-pomiarowe II stopnia.</w:t>
      </w:r>
    </w:p>
    <w:p w:rsidR="00F55BEF" w:rsidRDefault="00F55BEF" w:rsidP="00B0223A">
      <w:r>
        <w:lastRenderedPageBreak/>
        <w:t>Udział liczby gospodarstw domowych ogrzewających gazem ziemnym mieszkania w stosunku do łącznej liczby odbiorców wynosi około 38,5 %</w:t>
      </w:r>
      <w:r>
        <w:rPr>
          <w:rStyle w:val="Odwoanieprzypisudolnego"/>
        </w:rPr>
        <w:footnoteReference w:id="7"/>
      </w:r>
      <w:r>
        <w:t>.</w:t>
      </w:r>
    </w:p>
    <w:p w:rsidR="00F55BEF" w:rsidRDefault="00F55BEF" w:rsidP="00B0223A">
      <w:r>
        <w:t>System zasilania i dystrybucji gazu ziemnego realizowany przez Polską Spółkę Gazownictwa Sp. z o.o. Oddział Zakład Gazowniczy w Warszawie, ma na celu zapewnienie dostaw gazu w ilościach odpowiadających ich bieżącemu zapotrzebowaniu na cele socjalno – bytowe, grzewcze, technologiczne i inne. Aktualnie nie występują żadne zagrożenia w dostawie gazu sieciowego dla obszaru miasta. Do pozytywnych zjawisk związanych z zaopatrzeniem Mławy w gaz ziemny należy przede wszystkim systematyczny rozwój infrastruktury gazowniczej (przyrost długości sieci gazowej oraz przyrost liczby przyłączy gazowych). Stopień gazyfikacji (stosunek liczby mieszkańców korzystających z gazu ziemnego do ogólnej liczby mieszkańców) miasta Mława wynosi 88,3 % (wg danych GUS – stan na 31.12.2015 r.). Jest to jedna z wyższych wartości spośród wszystkich miast województwa mazowieckiego (14 pozycja na 86 miast).</w:t>
      </w:r>
    </w:p>
    <w:p w:rsidR="00F55BEF" w:rsidRDefault="00F55BEF" w:rsidP="00B0223A">
      <w:pPr>
        <w:rPr>
          <w:b/>
        </w:rPr>
      </w:pPr>
      <w:r>
        <w:t>Gaz ziemny w porównaniu do pozostałych konwencjonalnych źródeł energii (z włączeniem drewna opałowego) jest zdecydowanie najbardziej ekologicznym paliwem.</w:t>
      </w:r>
    </w:p>
    <w:p w:rsidR="00B0223A" w:rsidRDefault="00B0223A" w:rsidP="00B0223A">
      <w:pPr>
        <w:rPr>
          <w:b/>
        </w:rPr>
      </w:pPr>
      <w:r w:rsidRPr="00920FAB">
        <w:rPr>
          <w:b/>
        </w:rPr>
        <w:t>Ogrzewnictwo</w:t>
      </w:r>
    </w:p>
    <w:p w:rsidR="00D34898" w:rsidRDefault="00D34898" w:rsidP="00B0223A">
      <w:r>
        <w:t>Na obszarze Mławy zaopatrzenie w energię cieplną, poza ogrzewaniem indywidualnym, realizowane jest przede wszystkim przez miejską sieć ciepłowniczą zasilaną przez Ciepłownię Centralną oraz kotłownie lokalne, pracujące na potrzeby poszczególnych odbiorców. Czynnikiem negatywnym jest utrzymywanie się wysokiego udziału paliw stałych w kotłowniach systemowych (niekorzystny wpływ na stan aerosanitarny miasta i mała efektywność), chociaż, dzięki stosowaniu sprawnych systemów redukcji zanieczyszczeń, energetyczne spalanie paliw w kotłowniach miejskich nie jest problemem dominującym w odniesieniu do poziomu stężeń zanieczyszczeń.</w:t>
      </w:r>
    </w:p>
    <w:p w:rsidR="003928F0" w:rsidRDefault="003928F0" w:rsidP="00B0223A">
      <w:pPr>
        <w:rPr>
          <w:b/>
        </w:rPr>
      </w:pPr>
      <w:r>
        <w:t xml:space="preserve">Stan zaopatrzenia Mławy w ciepło ocenia się jako dobry. Obszar miasta jest zgazyfikowany, duża część jednostki posiada dostęp do sieci ciepłowniczej. Bilans zapotrzebowania energetycznych Mławy wskazuje na dywersyfikacje źródeł ciepła i wysokie bezpieczeństwo dostaw. Stan sieci ciepłowniczej sukcesywnie się poprawia i będzie poprawiał z racji </w:t>
      </w:r>
      <w:r>
        <w:lastRenderedPageBreak/>
        <w:t>planowanych remontów. Zarówno nowe odcinki sieci, jak i te modernizowane, budowane będą w technologii rur preizolowanych, charakteryzujących się zdecydowanie mniejszymi stratami w stosunku do przestarzałej technologii kanałowej. Przedsiębiorstwo Energetyki Cieplnej w Mławie ma duże szanse rozwoju w ciągu najbliższych lat.</w:t>
      </w:r>
    </w:p>
    <w:p w:rsidR="00B0223A" w:rsidRDefault="00B0223A" w:rsidP="00B0223A">
      <w:pPr>
        <w:pStyle w:val="Styl2"/>
      </w:pPr>
      <w:bookmarkStart w:id="180" w:name="_Toc535233348"/>
      <w:r>
        <w:t>6.3Termomodernizacja instalacji wewnętrznych i „skorupy” budynku</w:t>
      </w:r>
      <w:bookmarkEnd w:id="180"/>
    </w:p>
    <w:p w:rsidR="00B0223A" w:rsidRDefault="00B0223A" w:rsidP="00B0223A">
      <w:r>
        <w:t xml:space="preserve">Obecnie w Polsce na ogrzewanie budynków zużywane jest kilkakrotnie więcej energii niż dla takich samych budynków w innych krajach o podobnym klimacie. Zmniejszenie zapotrzebowania na energię cieplną obiektu mieszkalnego osiągane jest głównie poprzez zmniejszenie strat ciepła dla przegród zewnętrznych – poprzez ocieplenie ścian, stropodachów (dachów), stropów nad piwnicami, a także wymianę okien i drzwi zewnętrznych. Ponadto zmniejszenie współczynnika infiltracji powietrza zewnętrznego przez nieszczelności (głównie okna i drzwi) powoduje znaczące zmniejszenie strat ciepła na ogrzewanie zimnego powietrza wentylacyjnego. </w:t>
      </w:r>
    </w:p>
    <w:p w:rsidR="00FB2878" w:rsidRDefault="00B0223A" w:rsidP="00B0223A">
      <w:r>
        <w:t>Inną ważną przyczyną wysokiego zużycia ciepła jest niska sprawność wewnętrznej instalacji ogrzewania. Do zwiększenia sprawności wydajności wewnętrznej ogrzewania, przyczyniają się m.in. termomodernizacje zewnętrznej skorupy budynków, ocieplenie dachu oraz zwiększenie izolacyjności stolarki drzwiowej i okiennej. Doświadczenia z audytów energetycznych pokazują, iż przedsięwzięcia termomodernizacyjne mogą przyczynić się do zmniejszenia zużycia energii nawet o 60%. Wadą tych przedsięwzięć jest duża wysokość ponoszonych na ten cel nakładów inwestycyjnych, lecz należy mieć również na uwadze, że żywotność tego typu inwestycji wynosi, co najmniej 20 lat.</w:t>
      </w:r>
    </w:p>
    <w:p w:rsidR="00D12CD3" w:rsidRDefault="00D12CD3" w:rsidP="00B0223A">
      <w:pPr>
        <w:rPr>
          <w:sz w:val="22"/>
        </w:rPr>
      </w:pPr>
      <w:r>
        <w:t>Ze względu na obszary zabudowane, które stanowią miejsce występowania ptaków i nietoperzy podlegających ochronie, istnieje prawdopodobieństwo ewentualnej konieczności uzyskania stosownych zezwoleń na odstępstwa od zakazów obowiązujących w stosunku do chronionych gatunków ptaków i nietoperzy (m.in. niszczenie siedlisk gatunków bytujących w obiektach), wydawanych w trybie art. 56 ustawy z dnia 16 kwietnia 2004 r. o ochronie przyrody (Dz. U. 2018 poz. 1614) oraz w zależności od potrzeby – zapewnienia im siedlisk zastępczych. Planowane do modernizacji budynki mogą stanowić potencjalne miejsce gniazdowania gatunków ptaków, a</w:t>
      </w:r>
      <w:r w:rsidR="001E5C9E">
        <w:t> </w:t>
      </w:r>
      <w:r>
        <w:t xml:space="preserve">także miejsce potencjalnego rozrodu i hibernacji </w:t>
      </w:r>
      <w:r>
        <w:lastRenderedPageBreak/>
        <w:t>nietoperzy. W związku z tym, przed przystąpieniem do prac modernizacyjnych, należy we współpracy ze specjalistą ornitologiem i</w:t>
      </w:r>
      <w:r w:rsidR="001E5C9E">
        <w:t> </w:t>
      </w:r>
      <w:r>
        <w:t>chiropterologiem dokonać przeglądu budynków pod kątem występowania miejsc gniazdowania i schronień ptaków i nietoperzy, w celu zapobiegania nieumyślnego ich niszczenia.</w:t>
      </w:r>
    </w:p>
    <w:p w:rsidR="00B0223A" w:rsidRPr="00C2751F" w:rsidRDefault="00B0223A" w:rsidP="00B0223A">
      <w:pPr>
        <w:pStyle w:val="Styl2"/>
      </w:pPr>
      <w:bookmarkStart w:id="181" w:name="_Toc524375257"/>
      <w:bookmarkStart w:id="182" w:name="_Toc524936084"/>
      <w:bookmarkStart w:id="183" w:name="_Toc528140071"/>
      <w:bookmarkStart w:id="184" w:name="_Toc528749862"/>
      <w:bookmarkStart w:id="185" w:name="_Toc535233349"/>
      <w:r w:rsidRPr="00C2751F">
        <w:t>6.</w:t>
      </w:r>
      <w:r w:rsidR="001907B7">
        <w:t>4</w:t>
      </w:r>
      <w:r w:rsidRPr="00C2751F">
        <w:t xml:space="preserve"> Efekt rzeczowy PONE</w:t>
      </w:r>
      <w:bookmarkEnd w:id="181"/>
      <w:bookmarkEnd w:id="182"/>
      <w:bookmarkEnd w:id="183"/>
      <w:bookmarkEnd w:id="184"/>
      <w:bookmarkEnd w:id="185"/>
    </w:p>
    <w:p w:rsidR="00B0223A" w:rsidRDefault="00B0223A" w:rsidP="00B0223A">
      <w:r w:rsidRPr="004A4DAC">
        <w:t>Efekt rzeczowy to ujęcie ilościowe i rodzajowe produktów wdrożenia programu ogranicz</w:t>
      </w:r>
      <w:r w:rsidR="007861DB">
        <w:t>a</w:t>
      </w:r>
      <w:r w:rsidRPr="004A4DAC">
        <w:t>nia niskiej emisji. Jest on jednym z najistotniejszych parametrów branych przy ocenie stanu wdrażania inwestycji.</w:t>
      </w:r>
    </w:p>
    <w:p w:rsidR="00B0223A" w:rsidRPr="004A4DAC" w:rsidRDefault="00B0223A" w:rsidP="00B0223A">
      <w:r w:rsidRPr="004A4DAC">
        <w:t>Determinuje on ocenę skali osiągniętego efektu ekologicznego.</w:t>
      </w:r>
    </w:p>
    <w:p w:rsidR="00B0223A" w:rsidRPr="004A4DAC" w:rsidRDefault="00B0223A" w:rsidP="00B0223A">
      <w:r w:rsidRPr="004A4DAC">
        <w:t>Miernikiem skali osiągniętego efektu ekologicznego jest:</w:t>
      </w:r>
    </w:p>
    <w:p w:rsidR="00B0223A" w:rsidRPr="004A4DAC" w:rsidRDefault="00B0223A" w:rsidP="00AA7DC0">
      <w:pPr>
        <w:pStyle w:val="Akapitzlist"/>
        <w:numPr>
          <w:ilvl w:val="0"/>
          <w:numId w:val="32"/>
        </w:numPr>
        <w:spacing w:before="0" w:after="160"/>
      </w:pPr>
      <w:r w:rsidRPr="004A4DAC">
        <w:t>ilość budynków, w których dokonano modernizacji źródeł ciepła,</w:t>
      </w:r>
    </w:p>
    <w:p w:rsidR="00B0223A" w:rsidRDefault="00B0223A" w:rsidP="00AA7DC0">
      <w:pPr>
        <w:pStyle w:val="Akapitzlist"/>
        <w:numPr>
          <w:ilvl w:val="0"/>
          <w:numId w:val="32"/>
        </w:numPr>
        <w:spacing w:before="0" w:after="160"/>
      </w:pPr>
      <w:r w:rsidRPr="004A4DAC">
        <w:t>ilość danych rodzajów źródeł ciepła zainstalowanych w obiektach.</w:t>
      </w:r>
    </w:p>
    <w:p w:rsidR="00D30B4F" w:rsidRDefault="00D30B4F" w:rsidP="00D30B4F">
      <w:pPr>
        <w:pStyle w:val="Legenda"/>
        <w:keepNext/>
      </w:pPr>
      <w:bookmarkStart w:id="186" w:name="_Toc535583565"/>
      <w:r>
        <w:t xml:space="preserve">Tabela </w:t>
      </w:r>
      <w:r w:rsidR="00135E52">
        <w:rPr>
          <w:noProof/>
        </w:rPr>
        <w:fldChar w:fldCharType="begin"/>
      </w:r>
      <w:r w:rsidR="00CE339D">
        <w:rPr>
          <w:noProof/>
        </w:rPr>
        <w:instrText xml:space="preserve"> SEQ Tabela \* ARABIC </w:instrText>
      </w:r>
      <w:r w:rsidR="00135E52">
        <w:rPr>
          <w:noProof/>
        </w:rPr>
        <w:fldChar w:fldCharType="separate"/>
      </w:r>
      <w:r w:rsidR="00AD136C">
        <w:rPr>
          <w:noProof/>
        </w:rPr>
        <w:t>6</w:t>
      </w:r>
      <w:r w:rsidR="00135E52">
        <w:rPr>
          <w:noProof/>
        </w:rPr>
        <w:fldChar w:fldCharType="end"/>
      </w:r>
      <w:r w:rsidRPr="00BD75D0">
        <w:t xml:space="preserve"> Planowany efekt rzeczowy wdrażania Programu.</w:t>
      </w:r>
      <w:bookmarkEnd w:id="186"/>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2521"/>
        <w:gridCol w:w="622"/>
        <w:gridCol w:w="622"/>
        <w:gridCol w:w="622"/>
        <w:gridCol w:w="622"/>
        <w:gridCol w:w="622"/>
        <w:gridCol w:w="622"/>
        <w:gridCol w:w="622"/>
        <w:gridCol w:w="622"/>
        <w:gridCol w:w="622"/>
        <w:gridCol w:w="716"/>
      </w:tblGrid>
      <w:tr w:rsidR="009F263B" w:rsidRPr="00566DB4" w:rsidTr="009F263B">
        <w:trPr>
          <w:cnfStyle w:val="100000000000"/>
          <w:trHeight w:val="570"/>
        </w:trPr>
        <w:tc>
          <w:tcPr>
            <w:cnfStyle w:val="001000000000"/>
            <w:tcW w:w="302" w:type="pct"/>
            <w:vMerge w:val="restar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rPr>
                <w:rFonts w:eastAsia="Times New Roman" w:cs="Times New Roman"/>
                <w:b w:val="0"/>
                <w:bCs w:val="0"/>
                <w:sz w:val="20"/>
                <w:szCs w:val="20"/>
              </w:rPr>
            </w:pPr>
            <w:r w:rsidRPr="00566DB4">
              <w:rPr>
                <w:rFonts w:eastAsia="Times New Roman" w:cs="Times New Roman"/>
                <w:b w:val="0"/>
                <w:bCs w:val="0"/>
                <w:sz w:val="20"/>
                <w:szCs w:val="20"/>
              </w:rPr>
              <w:t>Lp.</w:t>
            </w:r>
          </w:p>
        </w:tc>
        <w:tc>
          <w:tcPr>
            <w:tcW w:w="1767" w:type="pct"/>
            <w:vMerge w:val="restar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Wyszczególnienie</w:t>
            </w:r>
          </w:p>
        </w:tc>
        <w:tc>
          <w:tcPr>
            <w:tcW w:w="338" w:type="pct"/>
            <w:tcBorders>
              <w:top w:val="none" w:sz="0" w:space="0" w:color="auto"/>
              <w:left w:val="none" w:sz="0" w:space="0" w:color="auto"/>
              <w:right w:val="none" w:sz="0" w:space="0" w:color="auto"/>
            </w:tcBorders>
            <w:hideMark/>
          </w:tcPr>
          <w:p w:rsidR="00DB72E8" w:rsidRPr="00566DB4" w:rsidRDefault="00DB72E8" w:rsidP="006A7850">
            <w:pPr>
              <w:spacing w:line="240" w:lineRule="auto"/>
              <w:cnfStyle w:val="100000000000"/>
              <w:rPr>
                <w:rFonts w:eastAsia="Times New Roman" w:cs="Times New Roman"/>
                <w:b w:val="0"/>
                <w:bCs w:val="0"/>
                <w:sz w:val="20"/>
                <w:szCs w:val="20"/>
              </w:rPr>
            </w:pPr>
            <w:r w:rsidRPr="00566DB4">
              <w:rPr>
                <w:rFonts w:eastAsia="Times New Roman" w:cs="Times New Roman"/>
                <w:b w:val="0"/>
                <w:bCs w:val="0"/>
                <w:sz w:val="20"/>
                <w:szCs w:val="20"/>
              </w:rPr>
              <w:t>2016</w:t>
            </w:r>
          </w:p>
        </w:tc>
        <w:tc>
          <w:tcPr>
            <w:tcW w:w="243"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2017</w:t>
            </w:r>
          </w:p>
        </w:tc>
        <w:tc>
          <w:tcPr>
            <w:tcW w:w="231"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2018</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2019</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2020</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2021</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2022</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2023</w:t>
            </w:r>
          </w:p>
        </w:tc>
        <w:tc>
          <w:tcPr>
            <w:tcW w:w="302" w:type="pct"/>
            <w:tcBorders>
              <w:top w:val="none" w:sz="0" w:space="0" w:color="auto"/>
              <w:left w:val="none" w:sz="0" w:space="0" w:color="auto"/>
              <w:right w:val="none" w:sz="0" w:space="0" w:color="auto"/>
            </w:tcBorders>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2024</w:t>
            </w:r>
          </w:p>
        </w:tc>
        <w:tc>
          <w:tcPr>
            <w:tcW w:w="302" w:type="pct"/>
            <w:tcBorders>
              <w:top w:val="none" w:sz="0" w:space="0" w:color="auto"/>
              <w:left w:val="none" w:sz="0" w:space="0" w:color="auto"/>
              <w:right w:val="none" w:sz="0" w:space="0" w:color="auto"/>
            </w:tcBorders>
            <w:noWrap/>
            <w:hideMark/>
          </w:tcPr>
          <w:p w:rsidR="00DB72E8" w:rsidRPr="00566DB4" w:rsidRDefault="00DB72E8" w:rsidP="00DB72E8">
            <w:pPr>
              <w:spacing w:line="240" w:lineRule="auto"/>
              <w:jc w:val="center"/>
              <w:cnfStyle w:val="100000000000"/>
              <w:rPr>
                <w:rFonts w:eastAsia="Times New Roman" w:cs="Times New Roman"/>
                <w:b w:val="0"/>
                <w:bCs w:val="0"/>
                <w:sz w:val="20"/>
                <w:szCs w:val="20"/>
              </w:rPr>
            </w:pPr>
            <w:r w:rsidRPr="00566DB4">
              <w:rPr>
                <w:rFonts w:eastAsia="Times New Roman" w:cs="Times New Roman"/>
                <w:b w:val="0"/>
                <w:bCs w:val="0"/>
                <w:sz w:val="20"/>
                <w:szCs w:val="20"/>
              </w:rPr>
              <w:t>SUMA</w:t>
            </w:r>
          </w:p>
        </w:tc>
      </w:tr>
      <w:tr w:rsidR="009F263B" w:rsidRPr="00566DB4" w:rsidTr="009F263B">
        <w:trPr>
          <w:cnfStyle w:val="000000100000"/>
          <w:trHeight w:val="290"/>
        </w:trPr>
        <w:tc>
          <w:tcPr>
            <w:cnfStyle w:val="001000000000"/>
            <w:tcW w:w="302" w:type="pct"/>
            <w:vMerge/>
            <w:tcBorders>
              <w:left w:val="none" w:sz="0" w:space="0" w:color="auto"/>
            </w:tcBorders>
            <w:hideMark/>
          </w:tcPr>
          <w:p w:rsidR="00DB72E8" w:rsidRPr="00566DB4" w:rsidRDefault="00DB72E8" w:rsidP="00DB72E8">
            <w:pPr>
              <w:spacing w:line="240" w:lineRule="auto"/>
              <w:jc w:val="left"/>
              <w:rPr>
                <w:rFonts w:eastAsia="Times New Roman" w:cs="Times New Roman"/>
                <w:b w:val="0"/>
                <w:bCs w:val="0"/>
                <w:sz w:val="20"/>
                <w:szCs w:val="20"/>
              </w:rPr>
            </w:pPr>
          </w:p>
        </w:tc>
        <w:tc>
          <w:tcPr>
            <w:tcW w:w="1767" w:type="pct"/>
            <w:vMerge/>
            <w:hideMark/>
          </w:tcPr>
          <w:p w:rsidR="00DB72E8" w:rsidRPr="00566DB4" w:rsidRDefault="00DB72E8" w:rsidP="00DB72E8">
            <w:pPr>
              <w:spacing w:line="240" w:lineRule="auto"/>
              <w:jc w:val="left"/>
              <w:cnfStyle w:val="000000100000"/>
              <w:rPr>
                <w:rFonts w:eastAsia="Times New Roman" w:cs="Times New Roman"/>
                <w:b/>
                <w:bCs/>
                <w:sz w:val="20"/>
                <w:szCs w:val="20"/>
              </w:rPr>
            </w:pPr>
          </w:p>
        </w:tc>
        <w:tc>
          <w:tcPr>
            <w:tcW w:w="338"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243"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231"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c>
          <w:tcPr>
            <w:tcW w:w="302" w:type="pct"/>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[szt.]</w:t>
            </w:r>
          </w:p>
        </w:tc>
      </w:tr>
      <w:tr w:rsidR="009F263B" w:rsidRPr="00566DB4" w:rsidTr="009F263B">
        <w:trPr>
          <w:trHeight w:val="31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1</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Podłączenie lokalu do sieci cieplnej</w:t>
            </w:r>
          </w:p>
        </w:tc>
        <w:tc>
          <w:tcPr>
            <w:tcW w:w="338" w:type="pct"/>
            <w:hideMark/>
          </w:tcPr>
          <w:p w:rsidR="00DB72E8" w:rsidRPr="00566DB4" w:rsidRDefault="006A7850"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43" w:type="pct"/>
            <w:noWrap/>
            <w:hideMark/>
          </w:tcPr>
          <w:p w:rsidR="00DB72E8" w:rsidRPr="00566DB4" w:rsidRDefault="006A7850" w:rsidP="006A7850">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w:t>
            </w:r>
          </w:p>
        </w:tc>
        <w:tc>
          <w:tcPr>
            <w:tcW w:w="231" w:type="pct"/>
            <w:noWrap/>
            <w:hideMark/>
          </w:tcPr>
          <w:p w:rsidR="00DB72E8" w:rsidRPr="00566DB4" w:rsidRDefault="00DB72E8" w:rsidP="006A7850">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3</w:t>
            </w:r>
          </w:p>
        </w:tc>
        <w:tc>
          <w:tcPr>
            <w:tcW w:w="302" w:type="pct"/>
            <w:noWrap/>
            <w:hideMark/>
          </w:tcPr>
          <w:p w:rsidR="00DB72E8" w:rsidRPr="00566DB4" w:rsidRDefault="00DB72E8" w:rsidP="006A7850">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27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4</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40</w:t>
            </w:r>
          </w:p>
        </w:tc>
      </w:tr>
      <w:tr w:rsidR="009F263B" w:rsidRPr="00566DB4" w:rsidTr="009F263B">
        <w:trPr>
          <w:cnfStyle w:val="000000100000"/>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2</w:t>
            </w:r>
          </w:p>
        </w:tc>
        <w:tc>
          <w:tcPr>
            <w:tcW w:w="1767"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Wymiana ogrzewania węglowego na elektryczne</w:t>
            </w:r>
          </w:p>
        </w:tc>
        <w:tc>
          <w:tcPr>
            <w:tcW w:w="338"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31"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10</w:t>
            </w:r>
          </w:p>
        </w:tc>
        <w:tc>
          <w:tcPr>
            <w:tcW w:w="302" w:type="pct"/>
            <w:noWrap/>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60</w:t>
            </w:r>
          </w:p>
        </w:tc>
      </w:tr>
      <w:tr w:rsidR="009F263B" w:rsidRPr="00566DB4" w:rsidTr="009F263B">
        <w:trPr>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3</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Wymiana starych kotłów węglowych na nowe zasilane ręcznie</w:t>
            </w:r>
          </w:p>
        </w:tc>
        <w:tc>
          <w:tcPr>
            <w:tcW w:w="338"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31" w:type="pct"/>
            <w:hideMark/>
          </w:tcPr>
          <w:p w:rsidR="00DB72E8" w:rsidRPr="00566DB4" w:rsidRDefault="006A7850"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6</w:t>
            </w:r>
          </w:p>
        </w:tc>
      </w:tr>
      <w:tr w:rsidR="009F263B" w:rsidRPr="00566DB4" w:rsidTr="009F263B">
        <w:trPr>
          <w:cnfStyle w:val="000000100000"/>
          <w:trHeight w:val="58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4</w:t>
            </w:r>
          </w:p>
        </w:tc>
        <w:tc>
          <w:tcPr>
            <w:tcW w:w="1767"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Wymiana starych kotłów węglowych na nowe zasilane automatycznie</w:t>
            </w:r>
          </w:p>
        </w:tc>
        <w:tc>
          <w:tcPr>
            <w:tcW w:w="338"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31"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noWrap/>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16</w:t>
            </w:r>
          </w:p>
        </w:tc>
      </w:tr>
      <w:tr w:rsidR="009F263B" w:rsidRPr="00566DB4" w:rsidTr="009F263B">
        <w:trPr>
          <w:trHeight w:val="58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5</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Wymiana kotłów węglowych na kotły na biomasę zasilane automatycznie</w:t>
            </w:r>
          </w:p>
        </w:tc>
        <w:tc>
          <w:tcPr>
            <w:tcW w:w="338"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31"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0</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r>
      <w:tr w:rsidR="009F263B" w:rsidRPr="00566DB4" w:rsidTr="009F263B">
        <w:trPr>
          <w:cnfStyle w:val="000000100000"/>
          <w:trHeight w:val="58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6</w:t>
            </w:r>
          </w:p>
        </w:tc>
        <w:tc>
          <w:tcPr>
            <w:tcW w:w="1767"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Wymiana kotłów węglowych na kotły na pe</w:t>
            </w:r>
            <w:r w:rsidR="006A7850" w:rsidRPr="00566DB4">
              <w:rPr>
                <w:rFonts w:eastAsia="Times New Roman" w:cs="Times New Roman"/>
                <w:sz w:val="20"/>
                <w:szCs w:val="20"/>
              </w:rPr>
              <w:t>l</w:t>
            </w:r>
            <w:r w:rsidRPr="00566DB4">
              <w:rPr>
                <w:rFonts w:eastAsia="Times New Roman" w:cs="Times New Roman"/>
                <w:sz w:val="20"/>
                <w:szCs w:val="20"/>
              </w:rPr>
              <w:t>lety zasilane automatycznie</w:t>
            </w:r>
          </w:p>
        </w:tc>
        <w:tc>
          <w:tcPr>
            <w:tcW w:w="338"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31"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w:t>
            </w:r>
          </w:p>
        </w:tc>
        <w:tc>
          <w:tcPr>
            <w:tcW w:w="302" w:type="pct"/>
            <w:noWrap/>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18</w:t>
            </w:r>
          </w:p>
        </w:tc>
      </w:tr>
      <w:tr w:rsidR="009F263B" w:rsidRPr="00566DB4" w:rsidTr="009F263B">
        <w:trPr>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7</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Wymiana ogrzewania węglowego na gazowe</w:t>
            </w:r>
          </w:p>
        </w:tc>
        <w:tc>
          <w:tcPr>
            <w:tcW w:w="338"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6</w:t>
            </w:r>
          </w:p>
        </w:tc>
        <w:tc>
          <w:tcPr>
            <w:tcW w:w="243"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109</w:t>
            </w:r>
          </w:p>
        </w:tc>
        <w:tc>
          <w:tcPr>
            <w:tcW w:w="231"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112</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135</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1037</w:t>
            </w:r>
          </w:p>
        </w:tc>
      </w:tr>
      <w:tr w:rsidR="009F263B" w:rsidRPr="00566DB4" w:rsidTr="009F263B">
        <w:trPr>
          <w:cnfStyle w:val="000000100000"/>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8</w:t>
            </w:r>
          </w:p>
        </w:tc>
        <w:tc>
          <w:tcPr>
            <w:tcW w:w="1767"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Wymiana ogrzewania węglowego na olejowe</w:t>
            </w:r>
          </w:p>
        </w:tc>
        <w:tc>
          <w:tcPr>
            <w:tcW w:w="338"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p>
        </w:tc>
        <w:tc>
          <w:tcPr>
            <w:tcW w:w="243"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31"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2</w:t>
            </w:r>
          </w:p>
        </w:tc>
        <w:tc>
          <w:tcPr>
            <w:tcW w:w="302" w:type="pct"/>
            <w:noWrap/>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12</w:t>
            </w:r>
          </w:p>
        </w:tc>
      </w:tr>
      <w:tr w:rsidR="009F263B" w:rsidRPr="00566DB4" w:rsidTr="009F263B">
        <w:trPr>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9</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Wymiana ogrzewania węglowego na pompę ciepła</w:t>
            </w:r>
          </w:p>
        </w:tc>
        <w:tc>
          <w:tcPr>
            <w:tcW w:w="338"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1</w:t>
            </w:r>
          </w:p>
        </w:tc>
        <w:tc>
          <w:tcPr>
            <w:tcW w:w="231"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31</w:t>
            </w:r>
          </w:p>
        </w:tc>
      </w:tr>
      <w:tr w:rsidR="009F263B" w:rsidRPr="00566DB4" w:rsidTr="009F263B">
        <w:trPr>
          <w:cnfStyle w:val="000000100000"/>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10</w:t>
            </w:r>
          </w:p>
        </w:tc>
        <w:tc>
          <w:tcPr>
            <w:tcW w:w="1767"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Zastosowanie kolektorów słonecznych</w:t>
            </w:r>
          </w:p>
        </w:tc>
        <w:tc>
          <w:tcPr>
            <w:tcW w:w="338"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231" w:type="pct"/>
            <w:hideMark/>
          </w:tcPr>
          <w:p w:rsidR="00DB72E8" w:rsidRPr="00566DB4" w:rsidRDefault="006A7850"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6</w:t>
            </w:r>
          </w:p>
        </w:tc>
        <w:tc>
          <w:tcPr>
            <w:tcW w:w="302" w:type="pct"/>
            <w:noWrap/>
            <w:hideMark/>
          </w:tcPr>
          <w:p w:rsidR="00DB72E8" w:rsidRPr="00566DB4" w:rsidRDefault="00DB72E8" w:rsidP="00DB72E8">
            <w:pPr>
              <w:spacing w:line="240" w:lineRule="auto"/>
              <w:jc w:val="center"/>
              <w:cnfStyle w:val="000000100000"/>
              <w:rPr>
                <w:rFonts w:eastAsia="Times New Roman" w:cs="Times New Roman"/>
                <w:sz w:val="20"/>
                <w:szCs w:val="20"/>
              </w:rPr>
            </w:pPr>
            <w:r w:rsidRPr="00566DB4">
              <w:rPr>
                <w:rFonts w:eastAsia="Times New Roman" w:cs="Times New Roman"/>
                <w:sz w:val="20"/>
                <w:szCs w:val="20"/>
              </w:rPr>
              <w:t>36</w:t>
            </w:r>
          </w:p>
        </w:tc>
      </w:tr>
      <w:tr w:rsidR="009F263B" w:rsidRPr="00566DB4" w:rsidTr="009F263B">
        <w:trPr>
          <w:trHeight w:val="290"/>
        </w:trPr>
        <w:tc>
          <w:tcPr>
            <w:cnfStyle w:val="001000000000"/>
            <w:tcW w:w="302" w:type="pct"/>
            <w:tcBorders>
              <w:left w:val="none" w:sz="0" w:space="0" w:color="auto"/>
            </w:tcBorders>
            <w:hideMark/>
          </w:tcPr>
          <w:p w:rsidR="00DB72E8" w:rsidRPr="00566DB4" w:rsidRDefault="00DB72E8" w:rsidP="00DB72E8">
            <w:pPr>
              <w:spacing w:line="240" w:lineRule="auto"/>
              <w:jc w:val="center"/>
              <w:rPr>
                <w:rFonts w:eastAsia="Times New Roman" w:cs="Times New Roman"/>
                <w:sz w:val="20"/>
                <w:szCs w:val="20"/>
              </w:rPr>
            </w:pPr>
            <w:r w:rsidRPr="00566DB4">
              <w:rPr>
                <w:rFonts w:eastAsia="Times New Roman" w:cs="Times New Roman"/>
                <w:sz w:val="20"/>
                <w:szCs w:val="20"/>
              </w:rPr>
              <w:t>11</w:t>
            </w:r>
          </w:p>
        </w:tc>
        <w:tc>
          <w:tcPr>
            <w:tcW w:w="1767"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Termomodernizacja</w:t>
            </w:r>
          </w:p>
        </w:tc>
        <w:tc>
          <w:tcPr>
            <w:tcW w:w="338"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 </w:t>
            </w:r>
            <w:r w:rsidR="006A7850" w:rsidRPr="00566DB4">
              <w:rPr>
                <w:rFonts w:eastAsia="Times New Roman" w:cs="Times New Roman"/>
                <w:sz w:val="20"/>
                <w:szCs w:val="20"/>
              </w:rPr>
              <w:t>-</w:t>
            </w:r>
          </w:p>
        </w:tc>
        <w:tc>
          <w:tcPr>
            <w:tcW w:w="243"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5</w:t>
            </w:r>
          </w:p>
        </w:tc>
        <w:tc>
          <w:tcPr>
            <w:tcW w:w="231" w:type="pct"/>
            <w:hideMark/>
          </w:tcPr>
          <w:p w:rsidR="00DB72E8" w:rsidRPr="00566DB4" w:rsidRDefault="006A7850"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w:t>
            </w:r>
            <w:r w:rsidR="00DB72E8" w:rsidRPr="00566DB4">
              <w:rPr>
                <w:rFonts w:eastAsia="Times New Roman" w:cs="Times New Roman"/>
                <w:sz w:val="20"/>
                <w:szCs w:val="20"/>
              </w:rPr>
              <w:t> </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7</w:t>
            </w:r>
          </w:p>
        </w:tc>
        <w:tc>
          <w:tcPr>
            <w:tcW w:w="302" w:type="pct"/>
            <w:noWrap/>
            <w:hideMark/>
          </w:tcPr>
          <w:p w:rsidR="00DB72E8" w:rsidRPr="00566DB4" w:rsidRDefault="00DB72E8" w:rsidP="00DB72E8">
            <w:pPr>
              <w:spacing w:line="240" w:lineRule="auto"/>
              <w:jc w:val="center"/>
              <w:cnfStyle w:val="000000000000"/>
              <w:rPr>
                <w:rFonts w:eastAsia="Times New Roman" w:cs="Times New Roman"/>
                <w:sz w:val="20"/>
                <w:szCs w:val="20"/>
              </w:rPr>
            </w:pPr>
            <w:r w:rsidRPr="00566DB4">
              <w:rPr>
                <w:rFonts w:eastAsia="Times New Roman" w:cs="Times New Roman"/>
                <w:sz w:val="20"/>
                <w:szCs w:val="20"/>
              </w:rPr>
              <w:t>47</w:t>
            </w:r>
          </w:p>
        </w:tc>
      </w:tr>
      <w:tr w:rsidR="009F263B" w:rsidRPr="00566DB4" w:rsidTr="009F263B">
        <w:trPr>
          <w:cnfStyle w:val="000000100000"/>
          <w:trHeight w:val="290"/>
        </w:trPr>
        <w:tc>
          <w:tcPr>
            <w:cnfStyle w:val="001000000000"/>
            <w:tcW w:w="2070" w:type="pct"/>
            <w:gridSpan w:val="2"/>
            <w:tcBorders>
              <w:left w:val="none" w:sz="0" w:space="0" w:color="auto"/>
              <w:bottom w:val="none" w:sz="0" w:space="0" w:color="auto"/>
            </w:tcBorders>
            <w:noWrap/>
            <w:hideMark/>
          </w:tcPr>
          <w:p w:rsidR="00DB72E8" w:rsidRPr="00566DB4" w:rsidRDefault="00DB72E8" w:rsidP="00DB72E8">
            <w:pPr>
              <w:spacing w:line="240" w:lineRule="auto"/>
              <w:jc w:val="center"/>
              <w:rPr>
                <w:rFonts w:eastAsia="Times New Roman" w:cs="Times New Roman"/>
                <w:b w:val="0"/>
                <w:bCs w:val="0"/>
                <w:sz w:val="20"/>
                <w:szCs w:val="20"/>
              </w:rPr>
            </w:pPr>
            <w:r w:rsidRPr="00566DB4">
              <w:rPr>
                <w:rFonts w:eastAsia="Times New Roman" w:cs="Times New Roman"/>
                <w:b w:val="0"/>
                <w:bCs w:val="0"/>
                <w:sz w:val="20"/>
                <w:szCs w:val="20"/>
              </w:rPr>
              <w:lastRenderedPageBreak/>
              <w:t>SUMA</w:t>
            </w:r>
          </w:p>
        </w:tc>
        <w:tc>
          <w:tcPr>
            <w:tcW w:w="338" w:type="pct"/>
            <w:noWrap/>
            <w:hideMark/>
          </w:tcPr>
          <w:p w:rsidR="00DB72E8" w:rsidRPr="00566DB4" w:rsidRDefault="006A7850"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6</w:t>
            </w:r>
            <w:r w:rsidR="00DB72E8" w:rsidRPr="00566DB4">
              <w:rPr>
                <w:rFonts w:eastAsia="Times New Roman" w:cs="Times New Roman"/>
                <w:b/>
                <w:bCs/>
                <w:sz w:val="20"/>
                <w:szCs w:val="20"/>
              </w:rPr>
              <w:t> </w:t>
            </w:r>
          </w:p>
        </w:tc>
        <w:tc>
          <w:tcPr>
            <w:tcW w:w="243" w:type="pct"/>
            <w:noWrap/>
            <w:hideMark/>
          </w:tcPr>
          <w:p w:rsidR="00DB72E8" w:rsidRPr="00566DB4" w:rsidRDefault="006A7850"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115</w:t>
            </w:r>
            <w:r w:rsidR="00DB72E8" w:rsidRPr="00566DB4">
              <w:rPr>
                <w:rFonts w:eastAsia="Times New Roman" w:cs="Times New Roman"/>
                <w:b/>
                <w:bCs/>
                <w:sz w:val="20"/>
                <w:szCs w:val="20"/>
              </w:rPr>
              <w:t> </w:t>
            </w:r>
          </w:p>
        </w:tc>
        <w:tc>
          <w:tcPr>
            <w:tcW w:w="231" w:type="pct"/>
            <w:noWrap/>
            <w:hideMark/>
          </w:tcPr>
          <w:p w:rsidR="00DB72E8" w:rsidRPr="00566DB4" w:rsidRDefault="006A7850"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115</w:t>
            </w:r>
            <w:r w:rsidR="00DB72E8" w:rsidRPr="00566DB4">
              <w:rPr>
                <w:rFonts w:eastAsia="Times New Roman" w:cs="Times New Roman"/>
                <w:b/>
                <w:bCs/>
                <w:sz w:val="20"/>
                <w:szCs w:val="20"/>
              </w:rPr>
              <w:t> </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199</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177</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174</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174</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173</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171</w:t>
            </w:r>
          </w:p>
        </w:tc>
        <w:tc>
          <w:tcPr>
            <w:tcW w:w="302" w:type="pct"/>
            <w:noWrap/>
            <w:hideMark/>
          </w:tcPr>
          <w:p w:rsidR="00DB72E8" w:rsidRPr="00566DB4" w:rsidRDefault="00DB72E8" w:rsidP="00DB72E8">
            <w:pPr>
              <w:spacing w:line="240" w:lineRule="auto"/>
              <w:jc w:val="center"/>
              <w:cnfStyle w:val="000000100000"/>
              <w:rPr>
                <w:rFonts w:eastAsia="Times New Roman" w:cs="Times New Roman"/>
                <w:b/>
                <w:bCs/>
                <w:sz w:val="20"/>
                <w:szCs w:val="20"/>
              </w:rPr>
            </w:pPr>
            <w:r w:rsidRPr="00566DB4">
              <w:rPr>
                <w:rFonts w:eastAsia="Times New Roman" w:cs="Times New Roman"/>
                <w:b/>
                <w:bCs/>
                <w:sz w:val="20"/>
                <w:szCs w:val="20"/>
              </w:rPr>
              <w:t>1304</w:t>
            </w:r>
          </w:p>
        </w:tc>
      </w:tr>
    </w:tbl>
    <w:p w:rsidR="00B0223A" w:rsidRDefault="00B0223A" w:rsidP="00B0223A"/>
    <w:p w:rsidR="00800446" w:rsidRDefault="00800446" w:rsidP="00800446">
      <w:r w:rsidRPr="006A7850">
        <w:t>Efektem zrealizowania powy</w:t>
      </w:r>
      <w:r w:rsidRPr="006A7850">
        <w:rPr>
          <w:rFonts w:eastAsia="TimesNewRoman" w:cs="TimesNewRoman"/>
        </w:rPr>
        <w:t>ż</w:t>
      </w:r>
      <w:r w:rsidRPr="006A7850">
        <w:t>szych zada</w:t>
      </w:r>
      <w:r w:rsidRPr="006A7850">
        <w:rPr>
          <w:rFonts w:eastAsia="TimesNewRoman" w:cs="TimesNewRoman"/>
        </w:rPr>
        <w:t xml:space="preserve">ń </w:t>
      </w:r>
      <w:r w:rsidRPr="006A7850">
        <w:t>b</w:t>
      </w:r>
      <w:r w:rsidRPr="006A7850">
        <w:rPr>
          <w:rFonts w:eastAsia="TimesNewRoman" w:cs="TimesNewRoman"/>
        </w:rPr>
        <w:t>ę</w:t>
      </w:r>
      <w:r w:rsidRPr="006A7850">
        <w:t>dzie m.in. fizyczna likwidacja istniej</w:t>
      </w:r>
      <w:r w:rsidRPr="006A7850">
        <w:rPr>
          <w:rFonts w:eastAsia="TimesNewRoman" w:cs="TimesNewRoman"/>
        </w:rPr>
        <w:t>ą</w:t>
      </w:r>
      <w:r w:rsidRPr="006A7850">
        <w:t xml:space="preserve">cych nieefektywnych </w:t>
      </w:r>
      <w:r w:rsidRPr="006A7850">
        <w:rPr>
          <w:rFonts w:eastAsia="TimesNewRoman" w:cs="TimesNewRoman"/>
        </w:rPr>
        <w:t>ź</w:t>
      </w:r>
      <w:r w:rsidRPr="006A7850">
        <w:t>ródeł ciepła oraz monta</w:t>
      </w:r>
      <w:r w:rsidRPr="006A7850">
        <w:rPr>
          <w:rFonts w:eastAsia="TimesNewRoman" w:cs="TimesNewRoman"/>
        </w:rPr>
        <w:t xml:space="preserve">ż </w:t>
      </w:r>
      <w:r w:rsidRPr="006A7850">
        <w:t>nowych instalacji. Potwierdzeniem uzyskania efektu ekologicznego b</w:t>
      </w:r>
      <w:r w:rsidRPr="006A7850">
        <w:rPr>
          <w:rFonts w:eastAsia="TimesNewRoman" w:cs="TimesNewRoman"/>
        </w:rPr>
        <w:t>ę</w:t>
      </w:r>
      <w:r w:rsidRPr="006A7850">
        <w:t>dzie odpowiednia dokumentacja z realizacji inwestycji tj. dowód likwidacji kotła, jak równie</w:t>
      </w:r>
      <w:r w:rsidRPr="006A7850">
        <w:rPr>
          <w:rFonts w:eastAsia="TimesNewRoman" w:cs="TimesNewRoman"/>
        </w:rPr>
        <w:t xml:space="preserve">ż </w:t>
      </w:r>
      <w:r w:rsidRPr="006A7850">
        <w:t>protokoły odbioru robót monta</w:t>
      </w:r>
      <w:r w:rsidRPr="006A7850">
        <w:rPr>
          <w:rFonts w:eastAsia="TimesNewRoman" w:cs="TimesNewRoman"/>
        </w:rPr>
        <w:t>ż</w:t>
      </w:r>
      <w:r w:rsidRPr="006A7850">
        <w:t>owych. Jednoznacznym wska</w:t>
      </w:r>
      <w:r w:rsidRPr="006A7850">
        <w:rPr>
          <w:rFonts w:eastAsia="TimesNewRoman" w:cs="TimesNewRoman"/>
        </w:rPr>
        <w:t>ź</w:t>
      </w:r>
      <w:r w:rsidRPr="006A7850">
        <w:t>nikiem osi</w:t>
      </w:r>
      <w:r w:rsidRPr="006A7850">
        <w:rPr>
          <w:rFonts w:eastAsia="TimesNewRoman" w:cs="TimesNewRoman"/>
        </w:rPr>
        <w:t>ą</w:t>
      </w:r>
      <w:r w:rsidRPr="006A7850">
        <w:t>ganych efektów energetycznych, ekonomicznych i ekologicznych b</w:t>
      </w:r>
      <w:r w:rsidRPr="006A7850">
        <w:rPr>
          <w:rFonts w:eastAsia="TimesNewRoman" w:cs="TimesNewRoman"/>
        </w:rPr>
        <w:t>ę</w:t>
      </w:r>
      <w:r w:rsidRPr="006A7850">
        <w:t>dzie ilo</w:t>
      </w:r>
      <w:r w:rsidRPr="006A7850">
        <w:rPr>
          <w:rFonts w:eastAsia="TimesNewRoman" w:cs="TimesNewRoman"/>
        </w:rPr>
        <w:t xml:space="preserve">ść </w:t>
      </w:r>
      <w:r w:rsidRPr="006A7850">
        <w:t>wykonanych zada</w:t>
      </w:r>
      <w:r w:rsidRPr="006A7850">
        <w:rPr>
          <w:rFonts w:eastAsia="TimesNewRoman" w:cs="TimesNewRoman"/>
        </w:rPr>
        <w:t>ń</w:t>
      </w:r>
      <w:r w:rsidRPr="006A7850">
        <w:t>.</w:t>
      </w:r>
    </w:p>
    <w:p w:rsidR="006A7850" w:rsidRDefault="006A7850" w:rsidP="006A7850">
      <w:r>
        <w:t xml:space="preserve">W latach 2016/2018 Miasto Mława podejmowało już kroki mające zmniejszyć zanieczyszczenie spowodowane niską emisją związaną z ogrzewaniem budynków. Zgodnie z danymi Urzędu Miasta oraz TBS w latach 2016/2018 wymieniono 227 kotły na gazowe oraz 1 na pompę ciepła, a 3 lokale podłączono do sieci PEC. Łącznie zmodernizowanych zostało 281 lokali wyposażonych w kotły węglowe. </w:t>
      </w:r>
    </w:p>
    <w:p w:rsidR="006A7850" w:rsidRDefault="006A7850" w:rsidP="006A7850">
      <w:r>
        <w:t>Łącznie działaniom naprawczym w latach 2016-2018 poddano 236 budynków.  W związku z tym, w dalszych latach przeprowadzania PONE zakłada się 1068 modernizacji przewidzianych w</w:t>
      </w:r>
      <w:r w:rsidR="001E5C9E">
        <w:t> </w:t>
      </w:r>
      <w:r>
        <w:t xml:space="preserve">powyższej tabeli. </w:t>
      </w:r>
    </w:p>
    <w:p w:rsidR="006A7850" w:rsidRPr="006A7850" w:rsidRDefault="007D55DC" w:rsidP="00800446">
      <w:r>
        <w:t xml:space="preserve">Z uwagi na poczynione działania efekty ekologiczny i energetyczny, będą obliczane </w:t>
      </w:r>
      <w:r w:rsidR="00C87C82">
        <w:t>z</w:t>
      </w:r>
      <w:r w:rsidR="001E5C9E">
        <w:t> </w:t>
      </w:r>
      <w:r w:rsidR="00C87C82">
        <w:t xml:space="preserve">uwzględnieniem działań zrealizowanych. </w:t>
      </w:r>
    </w:p>
    <w:p w:rsidR="00800446" w:rsidRPr="00065244" w:rsidRDefault="00800446" w:rsidP="00800446">
      <w:pPr>
        <w:rPr>
          <w:color w:val="000000" w:themeColor="text1"/>
        </w:rPr>
      </w:pPr>
      <w:r w:rsidRPr="00065244">
        <w:rPr>
          <w:color w:val="000000" w:themeColor="text1"/>
        </w:rPr>
        <w:t>W planowanych działaniach</w:t>
      </w:r>
      <w:r w:rsidR="00361142" w:rsidRPr="00065244">
        <w:rPr>
          <w:color w:val="000000" w:themeColor="text1"/>
        </w:rPr>
        <w:t xml:space="preserve"> na kolejne lata </w:t>
      </w:r>
      <w:r w:rsidRPr="00065244">
        <w:rPr>
          <w:color w:val="000000" w:themeColor="text1"/>
        </w:rPr>
        <w:t xml:space="preserve"> przeważające pod względem ilości [szt.] będzie m.in. wymiana ogrzewania węglowego na gazowe w </w:t>
      </w:r>
      <w:r w:rsidR="00361142" w:rsidRPr="00065244">
        <w:rPr>
          <w:color w:val="000000" w:themeColor="text1"/>
        </w:rPr>
        <w:t xml:space="preserve">810 </w:t>
      </w:r>
      <w:r w:rsidRPr="00065244">
        <w:rPr>
          <w:color w:val="000000" w:themeColor="text1"/>
        </w:rPr>
        <w:t xml:space="preserve">budynkach oraz podłączenie </w:t>
      </w:r>
      <w:r w:rsidR="00361142" w:rsidRPr="00065244">
        <w:rPr>
          <w:color w:val="000000" w:themeColor="text1"/>
        </w:rPr>
        <w:t>37</w:t>
      </w:r>
      <w:r w:rsidRPr="00065244">
        <w:rPr>
          <w:color w:val="000000" w:themeColor="text1"/>
        </w:rPr>
        <w:t xml:space="preserve"> lokali do sieci cieplnej. W ramach założeń planuje się termomodernizację </w:t>
      </w:r>
      <w:r w:rsidR="00361142" w:rsidRPr="00065244">
        <w:rPr>
          <w:color w:val="000000" w:themeColor="text1"/>
        </w:rPr>
        <w:t>42</w:t>
      </w:r>
      <w:r w:rsidRPr="00065244">
        <w:rPr>
          <w:color w:val="000000" w:themeColor="text1"/>
        </w:rPr>
        <w:t xml:space="preserve"> budynków. </w:t>
      </w:r>
    </w:p>
    <w:p w:rsidR="00800446" w:rsidRPr="00065244" w:rsidRDefault="00800446" w:rsidP="00800446">
      <w:pPr>
        <w:rPr>
          <w:color w:val="000000" w:themeColor="text1"/>
        </w:rPr>
      </w:pPr>
      <w:r w:rsidRPr="00065244">
        <w:rPr>
          <w:color w:val="000000" w:themeColor="text1"/>
        </w:rPr>
        <w:t>Zamierza się także zwiększyć ilość budynków wyposażonych w odnawialne źródła energii: w</w:t>
      </w:r>
      <w:r w:rsidR="001E5C9E">
        <w:rPr>
          <w:color w:val="000000" w:themeColor="text1"/>
        </w:rPr>
        <w:t> </w:t>
      </w:r>
      <w:r w:rsidRPr="00065244">
        <w:rPr>
          <w:color w:val="000000" w:themeColor="text1"/>
        </w:rPr>
        <w:t>pompę ciepła (</w:t>
      </w:r>
      <w:r w:rsidR="00361142" w:rsidRPr="00065244">
        <w:rPr>
          <w:color w:val="000000" w:themeColor="text1"/>
        </w:rPr>
        <w:t>30</w:t>
      </w:r>
      <w:r w:rsidRPr="00065244">
        <w:rPr>
          <w:color w:val="000000" w:themeColor="text1"/>
        </w:rPr>
        <w:t xml:space="preserve">) oraz kolektory słoneczne </w:t>
      </w:r>
      <w:r w:rsidR="00361142" w:rsidRPr="00065244">
        <w:rPr>
          <w:color w:val="000000" w:themeColor="text1"/>
        </w:rPr>
        <w:t>(36</w:t>
      </w:r>
      <w:r w:rsidRPr="00065244">
        <w:rPr>
          <w:color w:val="000000" w:themeColor="text1"/>
        </w:rPr>
        <w:t xml:space="preserve">). </w:t>
      </w:r>
    </w:p>
    <w:p w:rsidR="00800446" w:rsidRPr="00065244" w:rsidRDefault="00800446" w:rsidP="00800446">
      <w:pPr>
        <w:rPr>
          <w:rFonts w:eastAsia="Times New Roman" w:cs="Calibri"/>
          <w:color w:val="000000" w:themeColor="text1"/>
        </w:rPr>
      </w:pPr>
      <w:r w:rsidRPr="00065244">
        <w:rPr>
          <w:color w:val="000000" w:themeColor="text1"/>
        </w:rPr>
        <w:t xml:space="preserve">Wymianie ulegnie </w:t>
      </w:r>
      <w:r w:rsidR="00361142" w:rsidRPr="00065244">
        <w:rPr>
          <w:rFonts w:eastAsia="Times New Roman" w:cs="Calibri"/>
          <w:color w:val="000000" w:themeColor="text1"/>
        </w:rPr>
        <w:t>6</w:t>
      </w:r>
      <w:r w:rsidRPr="00065244">
        <w:rPr>
          <w:rFonts w:eastAsia="Times New Roman" w:cs="Calibri"/>
          <w:color w:val="000000" w:themeColor="text1"/>
        </w:rPr>
        <w:t xml:space="preserve">0 budynków ogrzewanych węglowo na elektryczne, wymiana </w:t>
      </w:r>
      <w:r w:rsidR="00065244" w:rsidRPr="00065244">
        <w:rPr>
          <w:rFonts w:eastAsia="Times New Roman" w:cs="Calibri"/>
          <w:color w:val="000000" w:themeColor="text1"/>
        </w:rPr>
        <w:t>1</w:t>
      </w:r>
      <w:r w:rsidRPr="00065244">
        <w:rPr>
          <w:rFonts w:eastAsia="Times New Roman" w:cs="Calibri"/>
          <w:color w:val="000000" w:themeColor="text1"/>
        </w:rPr>
        <w:t xml:space="preserve"> kotł</w:t>
      </w:r>
      <w:r w:rsidR="00065244" w:rsidRPr="00065244">
        <w:rPr>
          <w:rFonts w:eastAsia="Times New Roman" w:cs="Calibri"/>
          <w:color w:val="000000" w:themeColor="text1"/>
        </w:rPr>
        <w:t>a</w:t>
      </w:r>
      <w:r w:rsidRPr="00065244">
        <w:rPr>
          <w:rFonts w:eastAsia="Times New Roman" w:cs="Calibri"/>
          <w:color w:val="000000" w:themeColor="text1"/>
        </w:rPr>
        <w:t xml:space="preserve"> węglow</w:t>
      </w:r>
      <w:r w:rsidR="00065244" w:rsidRPr="00065244">
        <w:rPr>
          <w:rFonts w:eastAsia="Times New Roman" w:cs="Calibri"/>
          <w:color w:val="000000" w:themeColor="text1"/>
        </w:rPr>
        <w:t>ego</w:t>
      </w:r>
      <w:r w:rsidRPr="00065244">
        <w:rPr>
          <w:rFonts w:eastAsia="Times New Roman" w:cs="Calibri"/>
          <w:color w:val="000000" w:themeColor="text1"/>
        </w:rPr>
        <w:t xml:space="preserve"> na ko</w:t>
      </w:r>
      <w:r w:rsidR="00065244" w:rsidRPr="00065244">
        <w:rPr>
          <w:rFonts w:eastAsia="Times New Roman" w:cs="Calibri"/>
          <w:color w:val="000000" w:themeColor="text1"/>
        </w:rPr>
        <w:t xml:space="preserve">cioł </w:t>
      </w:r>
      <w:r w:rsidRPr="00065244">
        <w:rPr>
          <w:rFonts w:eastAsia="Times New Roman" w:cs="Calibri"/>
          <w:color w:val="000000" w:themeColor="text1"/>
        </w:rPr>
        <w:t>na biomasę zasilan</w:t>
      </w:r>
      <w:r w:rsidR="00065244" w:rsidRPr="00065244">
        <w:rPr>
          <w:rFonts w:eastAsia="Times New Roman" w:cs="Calibri"/>
          <w:color w:val="000000" w:themeColor="text1"/>
        </w:rPr>
        <w:t>y</w:t>
      </w:r>
      <w:r w:rsidRPr="00065244">
        <w:rPr>
          <w:rFonts w:eastAsia="Times New Roman" w:cs="Calibri"/>
          <w:color w:val="000000" w:themeColor="text1"/>
        </w:rPr>
        <w:t xml:space="preserve"> automatycznie</w:t>
      </w:r>
      <w:r w:rsidR="00065244" w:rsidRPr="00065244">
        <w:rPr>
          <w:rFonts w:eastAsia="Times New Roman" w:cs="Calibri"/>
          <w:color w:val="000000" w:themeColor="text1"/>
        </w:rPr>
        <w:t xml:space="preserve"> (zgodnie z deklaracja inwestora)</w:t>
      </w:r>
      <w:r w:rsidRPr="00065244">
        <w:rPr>
          <w:rFonts w:eastAsia="Times New Roman" w:cs="Calibri"/>
          <w:color w:val="000000" w:themeColor="text1"/>
        </w:rPr>
        <w:t xml:space="preserve">, wymiana </w:t>
      </w:r>
      <w:r w:rsidR="00065244" w:rsidRPr="00065244">
        <w:rPr>
          <w:rFonts w:eastAsia="Times New Roman" w:cs="Calibri"/>
          <w:color w:val="000000" w:themeColor="text1"/>
        </w:rPr>
        <w:t>18</w:t>
      </w:r>
      <w:r w:rsidRPr="00065244">
        <w:rPr>
          <w:rFonts w:eastAsia="Times New Roman" w:cs="Calibri"/>
          <w:color w:val="000000" w:themeColor="text1"/>
        </w:rPr>
        <w:t xml:space="preserve"> kotłów węglowych na kotły na pellety zasilane automatycznie oraz </w:t>
      </w:r>
      <w:r w:rsidR="00065244" w:rsidRPr="00065244">
        <w:rPr>
          <w:rFonts w:eastAsia="Times New Roman" w:cs="Calibri"/>
          <w:color w:val="000000" w:themeColor="text1"/>
        </w:rPr>
        <w:t>12</w:t>
      </w:r>
      <w:r w:rsidRPr="00065244">
        <w:rPr>
          <w:rFonts w:eastAsia="Times New Roman" w:cs="Calibri"/>
          <w:color w:val="000000" w:themeColor="text1"/>
        </w:rPr>
        <w:t> budynków wymieni ogrzewanie węglowe na olejowe.</w:t>
      </w:r>
    </w:p>
    <w:p w:rsidR="00800446" w:rsidRPr="00800446" w:rsidRDefault="00800446" w:rsidP="00800446">
      <w:pPr>
        <w:rPr>
          <w:rFonts w:eastAsia="Times New Roman" w:cs="Calibri"/>
          <w:color w:val="000000" w:themeColor="text1"/>
        </w:rPr>
      </w:pPr>
      <w:r w:rsidRPr="00800446">
        <w:rPr>
          <w:rFonts w:eastAsia="Times New Roman" w:cs="Calibri"/>
          <w:color w:val="000000" w:themeColor="text1"/>
        </w:rPr>
        <w:lastRenderedPageBreak/>
        <w:t xml:space="preserve">W sumie dokonane zostanie 1304 działania naprawcze, co wyszczególnione  jest w Załączniku 4 do uchwały nr 98/17 Sejmiku Województwa Mazowieckiego z dnia 20 czerwca 2017 r dla </w:t>
      </w:r>
      <w:r>
        <w:rPr>
          <w:rFonts w:eastAsia="Times New Roman" w:cs="Calibri"/>
          <w:color w:val="000000" w:themeColor="text1"/>
        </w:rPr>
        <w:t>Mławy</w:t>
      </w:r>
      <w:r w:rsidRPr="00800446">
        <w:rPr>
          <w:rFonts w:eastAsia="Times New Roman" w:cs="Calibri"/>
          <w:color w:val="000000" w:themeColor="text1"/>
        </w:rPr>
        <w:t xml:space="preserve"> gminy miejskiej, w POP dla województwa mazowieckiego.</w:t>
      </w:r>
    </w:p>
    <w:p w:rsidR="00800446" w:rsidRPr="00800446" w:rsidRDefault="00800446" w:rsidP="00800446">
      <w:pPr>
        <w:rPr>
          <w:color w:val="000000" w:themeColor="text1"/>
          <w:shd w:val="clear" w:color="auto" w:fill="FFFFFF"/>
        </w:rPr>
      </w:pPr>
      <w:r w:rsidRPr="00800446">
        <w:rPr>
          <w:rFonts w:eastAsia="Times New Roman" w:cs="Calibri"/>
          <w:color w:val="000000" w:themeColor="text1"/>
        </w:rPr>
        <w:t>Całkowita liczba modernizacji</w:t>
      </w:r>
      <w:r w:rsidRPr="00800446">
        <w:rPr>
          <w:color w:val="000000" w:themeColor="text1"/>
          <w:shd w:val="clear" w:color="auto" w:fill="FFFFFF"/>
        </w:rPr>
        <w:t xml:space="preserve">w powyższej tabeli jest propozycją i może ulec zmianie, w związku </w:t>
      </w:r>
      <w:r w:rsidRPr="00800446">
        <w:rPr>
          <w:color w:val="000000" w:themeColor="text1"/>
          <w:shd w:val="clear" w:color="auto" w:fill="FFFFFF"/>
        </w:rPr>
        <w:br/>
        <w:t>z wykazywanymi w przyszłości ograniczenia emisji pyłów zawieszonych PM10 i PM2,5 do atmosfery oraz innymi działaniami naprawczymi (np. na skutek zmniejszenia emisji z</w:t>
      </w:r>
      <w:r w:rsidR="001E5C9E">
        <w:rPr>
          <w:color w:val="000000" w:themeColor="text1"/>
          <w:shd w:val="clear" w:color="auto" w:fill="FFFFFF"/>
        </w:rPr>
        <w:t> </w:t>
      </w:r>
      <w:r w:rsidRPr="00800446">
        <w:rPr>
          <w:color w:val="000000" w:themeColor="text1"/>
          <w:shd w:val="clear" w:color="auto" w:fill="FFFFFF"/>
        </w:rPr>
        <w:t xml:space="preserve">komunikacji liniowej oraz indywidualnymi przedsięwzięciami remontowymi mieszkańców). </w:t>
      </w:r>
    </w:p>
    <w:p w:rsidR="00800446" w:rsidRPr="00071FF1" w:rsidRDefault="00800446" w:rsidP="00800446">
      <w:pPr>
        <w:rPr>
          <w:rFonts w:eastAsia="Times New Roman" w:cs="Calibri"/>
          <w:i/>
          <w:color w:val="487B77" w:themeColor="accent6" w:themeShade="BF"/>
        </w:rPr>
      </w:pPr>
      <w:bookmarkStart w:id="187" w:name="_Hlk535326659"/>
      <w:r w:rsidRPr="00800446">
        <w:rPr>
          <w:color w:val="000000" w:themeColor="text1"/>
          <w:shd w:val="clear" w:color="auto" w:fill="FFFFFF"/>
        </w:rPr>
        <w:t xml:space="preserve">Nie wszystkie wyżej wymienione działania będą pokryte z środków własnych Miasta. </w:t>
      </w:r>
      <w:r>
        <w:rPr>
          <w:color w:val="000000" w:themeColor="text1"/>
          <w:shd w:val="clear" w:color="auto" w:fill="FFFFFF"/>
        </w:rPr>
        <w:t xml:space="preserve">Część </w:t>
      </w:r>
      <w:r w:rsidRPr="00800446">
        <w:rPr>
          <w:color w:val="000000" w:themeColor="text1"/>
          <w:shd w:val="clear" w:color="auto" w:fill="FFFFFF"/>
        </w:rPr>
        <w:t xml:space="preserve">działań finansowana będzie ze środków zewnętrznych. </w:t>
      </w:r>
    </w:p>
    <w:p w:rsidR="007F7FFB" w:rsidRDefault="00944D48" w:rsidP="00561560">
      <w:pPr>
        <w:pStyle w:val="Styl2"/>
      </w:pPr>
      <w:bookmarkStart w:id="188" w:name="_Toc530660613"/>
      <w:bookmarkStart w:id="189" w:name="_Toc535233350"/>
      <w:bookmarkEnd w:id="187"/>
      <w:r>
        <w:t xml:space="preserve">6.5 </w:t>
      </w:r>
      <w:r w:rsidR="007F7FFB">
        <w:t>Charakterystyka ekologiczna PONE</w:t>
      </w:r>
      <w:bookmarkEnd w:id="188"/>
      <w:bookmarkEnd w:id="189"/>
    </w:p>
    <w:p w:rsidR="007F7FFB" w:rsidRDefault="007F7FFB" w:rsidP="007F7FFB">
      <w:r w:rsidRPr="00E36432">
        <w:t>Dlaprzeprowadzeniaanalizyporównawczejróżnychprzedsięwzięćwpływającychnaoptymalizacjęzużyciaenergii,zastosowanametodamusirespektowaćjednolitekryteria.Programniedotyczyjednegoobiektu,dlaktóregomożliwebyłobyprzeprowadzenieszczegółowegoaudytuenergetycznegoitymsamymwyznaczenieefektówenergetycznych,ekologicznychiekonomicznychrozważanychprzedsięwzięć.</w:t>
      </w:r>
    </w:p>
    <w:p w:rsidR="007F7FFB" w:rsidRDefault="007F7FFB" w:rsidP="007F7FFB">
      <w:r w:rsidRPr="00C27C51">
        <w:t>Dla określenia podstawowych parametrów budynku typowego wykorzystano</w:t>
      </w:r>
      <w:r>
        <w:t xml:space="preserve"> ogólnodostępne dane branżowe oraz dane GUS.</w:t>
      </w:r>
    </w:p>
    <w:p w:rsidR="007F7FFB" w:rsidRDefault="007F7FFB" w:rsidP="007F7FFB">
      <w:pPr>
        <w:pStyle w:val="Legenda"/>
        <w:keepNext/>
      </w:pPr>
      <w:bookmarkStart w:id="190" w:name="_Toc535583566"/>
      <w:r>
        <w:t xml:space="preserve">Tabela </w:t>
      </w:r>
      <w:r w:rsidR="00135E52">
        <w:rPr>
          <w:noProof/>
        </w:rPr>
        <w:fldChar w:fldCharType="begin"/>
      </w:r>
      <w:r w:rsidR="00CE339D">
        <w:rPr>
          <w:noProof/>
        </w:rPr>
        <w:instrText xml:space="preserve"> SEQ Tabela \* ARABIC </w:instrText>
      </w:r>
      <w:r w:rsidR="00135E52">
        <w:rPr>
          <w:noProof/>
        </w:rPr>
        <w:fldChar w:fldCharType="separate"/>
      </w:r>
      <w:r w:rsidR="00AD136C">
        <w:rPr>
          <w:noProof/>
        </w:rPr>
        <w:t>7</w:t>
      </w:r>
      <w:r w:rsidR="00135E52">
        <w:rPr>
          <w:noProof/>
        </w:rPr>
        <w:fldChar w:fldCharType="end"/>
      </w:r>
      <w:r w:rsidRPr="00E816B1">
        <w:t xml:space="preserve">Charakterystyka budynku przeciętnego w Mieście </w:t>
      </w:r>
      <w:r>
        <w:t xml:space="preserve">Mława </w:t>
      </w:r>
      <w:r w:rsidRPr="00E816B1">
        <w:t>(opracowanie własne na podstawie danych GUS).</w:t>
      </w:r>
      <w:bookmarkEnd w:id="190"/>
    </w:p>
    <w:tbl>
      <w:tblPr>
        <w:tblStyle w:val="GridTable2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3"/>
        <w:gridCol w:w="1598"/>
        <w:gridCol w:w="1447"/>
      </w:tblGrid>
      <w:tr w:rsidR="007F7FFB" w:rsidRPr="007F7FFB" w:rsidTr="009F263B">
        <w:trPr>
          <w:cnfStyle w:val="100000000000"/>
          <w:trHeight w:val="580"/>
        </w:trPr>
        <w:tc>
          <w:tcPr>
            <w:cnfStyle w:val="001000000000"/>
            <w:tcW w:w="3361" w:type="pct"/>
            <w:tcBorders>
              <w:top w:val="none" w:sz="0" w:space="0" w:color="auto"/>
              <w:bottom w:val="none" w:sz="0" w:space="0" w:color="auto"/>
              <w:right w:val="none" w:sz="0" w:space="0" w:color="auto"/>
            </w:tcBorders>
            <w:hideMark/>
          </w:tcPr>
          <w:p w:rsidR="007F7FFB" w:rsidRPr="007F7FFB" w:rsidRDefault="007F7FFB" w:rsidP="007F7FFB">
            <w:pPr>
              <w:spacing w:line="240" w:lineRule="auto"/>
              <w:jc w:val="left"/>
              <w:rPr>
                <w:rFonts w:eastAsia="Times New Roman" w:cs="Times New Roman"/>
                <w:b w:val="0"/>
                <w:bCs w:val="0"/>
                <w:color w:val="000000"/>
              </w:rPr>
            </w:pPr>
            <w:r w:rsidRPr="007F7FFB">
              <w:rPr>
                <w:rFonts w:eastAsia="Times New Roman" w:cs="Times New Roman"/>
                <w:b w:val="0"/>
                <w:bCs w:val="0"/>
                <w:color w:val="000000"/>
              </w:rPr>
              <w:t>Łączna powierzchnia mieszkań na terenie Mławy</w:t>
            </w:r>
          </w:p>
        </w:tc>
        <w:tc>
          <w:tcPr>
            <w:tcW w:w="860" w:type="pct"/>
            <w:tcBorders>
              <w:top w:val="none" w:sz="0" w:space="0" w:color="auto"/>
              <w:left w:val="none" w:sz="0" w:space="0" w:color="auto"/>
              <w:bottom w:val="none" w:sz="0" w:space="0" w:color="auto"/>
              <w:right w:val="none" w:sz="0" w:space="0" w:color="auto"/>
            </w:tcBorders>
            <w:hideMark/>
          </w:tcPr>
          <w:p w:rsidR="007F7FFB" w:rsidRPr="009F263B" w:rsidRDefault="007F7FFB" w:rsidP="007F7FFB">
            <w:pPr>
              <w:spacing w:line="240" w:lineRule="auto"/>
              <w:jc w:val="center"/>
              <w:cnfStyle w:val="100000000000"/>
              <w:rPr>
                <w:rFonts w:eastAsia="Times New Roman" w:cs="Times New Roman"/>
                <w:b w:val="0"/>
                <w:color w:val="000000"/>
              </w:rPr>
            </w:pPr>
            <w:r w:rsidRPr="009F263B">
              <w:rPr>
                <w:rFonts w:eastAsia="Times New Roman" w:cs="Times New Roman"/>
                <w:b w:val="0"/>
                <w:color w:val="000000"/>
              </w:rPr>
              <w:t>864360</w:t>
            </w:r>
          </w:p>
        </w:tc>
        <w:tc>
          <w:tcPr>
            <w:tcW w:w="779" w:type="pct"/>
            <w:tcBorders>
              <w:top w:val="none" w:sz="0" w:space="0" w:color="auto"/>
              <w:left w:val="none" w:sz="0" w:space="0" w:color="auto"/>
              <w:bottom w:val="none" w:sz="0" w:space="0" w:color="auto"/>
            </w:tcBorders>
            <w:noWrap/>
            <w:hideMark/>
          </w:tcPr>
          <w:p w:rsidR="007F7FFB" w:rsidRPr="009F263B" w:rsidRDefault="007F7FFB" w:rsidP="007F7FFB">
            <w:pPr>
              <w:spacing w:line="240" w:lineRule="auto"/>
              <w:jc w:val="center"/>
              <w:cnfStyle w:val="100000000000"/>
              <w:rPr>
                <w:rFonts w:eastAsia="Times New Roman" w:cs="Times New Roman"/>
                <w:b w:val="0"/>
                <w:color w:val="000000"/>
              </w:rPr>
            </w:pPr>
            <w:r w:rsidRPr="009F263B">
              <w:rPr>
                <w:rFonts w:eastAsia="Times New Roman" w:cs="Times New Roman"/>
                <w:b w:val="0"/>
                <w:color w:val="000000"/>
              </w:rPr>
              <w:t>m</w:t>
            </w:r>
            <w:r w:rsidRPr="009F263B">
              <w:rPr>
                <w:rFonts w:eastAsia="Times New Roman" w:cs="Times New Roman"/>
                <w:b w:val="0"/>
                <w:color w:val="000000"/>
                <w:vertAlign w:val="superscript"/>
              </w:rPr>
              <w:t>2</w:t>
            </w:r>
          </w:p>
        </w:tc>
      </w:tr>
      <w:tr w:rsidR="007F7FFB" w:rsidRPr="007F7FFB" w:rsidTr="009F263B">
        <w:trPr>
          <w:cnfStyle w:val="000000100000"/>
          <w:trHeight w:val="580"/>
        </w:trPr>
        <w:tc>
          <w:tcPr>
            <w:cnfStyle w:val="001000000000"/>
            <w:tcW w:w="3361" w:type="pct"/>
            <w:hideMark/>
          </w:tcPr>
          <w:p w:rsidR="007F7FFB" w:rsidRPr="007F7FFB" w:rsidRDefault="007F7FFB" w:rsidP="007F7FFB">
            <w:pPr>
              <w:spacing w:line="240" w:lineRule="auto"/>
              <w:jc w:val="left"/>
              <w:rPr>
                <w:rFonts w:eastAsia="Times New Roman" w:cs="Times New Roman"/>
                <w:b w:val="0"/>
                <w:bCs w:val="0"/>
                <w:color w:val="000000"/>
              </w:rPr>
            </w:pPr>
            <w:r w:rsidRPr="007F7FFB">
              <w:rPr>
                <w:rFonts w:eastAsia="Times New Roman" w:cs="Times New Roman"/>
                <w:b w:val="0"/>
                <w:bCs w:val="0"/>
                <w:color w:val="000000"/>
              </w:rPr>
              <w:t>Liczba mieszkań na terenie Mławy</w:t>
            </w:r>
          </w:p>
        </w:tc>
        <w:tc>
          <w:tcPr>
            <w:tcW w:w="860" w:type="pct"/>
            <w:hideMark/>
          </w:tcPr>
          <w:p w:rsidR="007F7FFB" w:rsidRPr="007F7FFB" w:rsidRDefault="007F7FFB" w:rsidP="007F7FFB">
            <w:pPr>
              <w:spacing w:line="240" w:lineRule="auto"/>
              <w:jc w:val="center"/>
              <w:cnfStyle w:val="000000100000"/>
              <w:rPr>
                <w:rFonts w:eastAsia="Times New Roman" w:cs="Times New Roman"/>
                <w:color w:val="000000"/>
              </w:rPr>
            </w:pPr>
            <w:r w:rsidRPr="007F7FFB">
              <w:rPr>
                <w:rFonts w:eastAsia="Times New Roman" w:cs="Times New Roman"/>
                <w:color w:val="000000"/>
              </w:rPr>
              <w:t>12 348</w:t>
            </w:r>
          </w:p>
        </w:tc>
        <w:tc>
          <w:tcPr>
            <w:tcW w:w="779" w:type="pct"/>
            <w:noWrap/>
            <w:hideMark/>
          </w:tcPr>
          <w:p w:rsidR="007F7FFB" w:rsidRPr="007F7FFB" w:rsidRDefault="007F7FFB" w:rsidP="007F7FFB">
            <w:pPr>
              <w:spacing w:line="240" w:lineRule="auto"/>
              <w:jc w:val="center"/>
              <w:cnfStyle w:val="000000100000"/>
              <w:rPr>
                <w:rFonts w:eastAsia="Times New Roman" w:cs="Times New Roman"/>
                <w:color w:val="000000"/>
              </w:rPr>
            </w:pPr>
            <w:r w:rsidRPr="007F7FFB">
              <w:rPr>
                <w:rFonts w:eastAsia="Times New Roman" w:cs="Times New Roman"/>
                <w:color w:val="000000"/>
              </w:rPr>
              <w:t>szt.</w:t>
            </w:r>
          </w:p>
        </w:tc>
      </w:tr>
      <w:tr w:rsidR="007F7FFB" w:rsidRPr="007F7FFB" w:rsidTr="009F263B">
        <w:trPr>
          <w:trHeight w:val="580"/>
        </w:trPr>
        <w:tc>
          <w:tcPr>
            <w:cnfStyle w:val="001000000000"/>
            <w:tcW w:w="3361" w:type="pct"/>
            <w:hideMark/>
          </w:tcPr>
          <w:p w:rsidR="007F7FFB" w:rsidRPr="007F7FFB" w:rsidRDefault="007F7FFB" w:rsidP="007F7FFB">
            <w:pPr>
              <w:spacing w:line="240" w:lineRule="auto"/>
              <w:jc w:val="left"/>
              <w:rPr>
                <w:rFonts w:eastAsia="Times New Roman" w:cs="Times New Roman"/>
                <w:b w:val="0"/>
                <w:bCs w:val="0"/>
                <w:color w:val="000000"/>
              </w:rPr>
            </w:pPr>
            <w:r w:rsidRPr="007F7FFB">
              <w:rPr>
                <w:rFonts w:eastAsia="Times New Roman" w:cs="Times New Roman"/>
                <w:b w:val="0"/>
                <w:bCs w:val="0"/>
                <w:color w:val="000000"/>
              </w:rPr>
              <w:t xml:space="preserve">Przeciętna powierzchnia 1 mieszkania </w:t>
            </w:r>
          </w:p>
        </w:tc>
        <w:tc>
          <w:tcPr>
            <w:tcW w:w="860" w:type="pct"/>
            <w:hideMark/>
          </w:tcPr>
          <w:p w:rsidR="007F7FFB" w:rsidRPr="007F7FFB" w:rsidRDefault="007F7FFB" w:rsidP="007F7FFB">
            <w:pPr>
              <w:spacing w:line="240" w:lineRule="auto"/>
              <w:jc w:val="center"/>
              <w:cnfStyle w:val="000000000000"/>
              <w:rPr>
                <w:rFonts w:eastAsia="Times New Roman" w:cs="Times New Roman"/>
                <w:color w:val="000000"/>
              </w:rPr>
            </w:pPr>
            <w:r w:rsidRPr="007F7FFB">
              <w:rPr>
                <w:rFonts w:eastAsia="Times New Roman" w:cs="Times New Roman"/>
                <w:color w:val="000000"/>
              </w:rPr>
              <w:t>70,00</w:t>
            </w:r>
          </w:p>
        </w:tc>
        <w:tc>
          <w:tcPr>
            <w:tcW w:w="779" w:type="pct"/>
            <w:noWrap/>
            <w:hideMark/>
          </w:tcPr>
          <w:p w:rsidR="007F7FFB" w:rsidRPr="007F7FFB" w:rsidRDefault="007F7FFB" w:rsidP="007F7FFB">
            <w:pPr>
              <w:spacing w:line="240" w:lineRule="auto"/>
              <w:jc w:val="center"/>
              <w:cnfStyle w:val="000000000000"/>
              <w:rPr>
                <w:rFonts w:eastAsia="Times New Roman" w:cs="Times New Roman"/>
                <w:color w:val="000000"/>
              </w:rPr>
            </w:pPr>
            <w:r w:rsidRPr="007F7FFB">
              <w:rPr>
                <w:rFonts w:eastAsia="Times New Roman" w:cs="Times New Roman"/>
                <w:color w:val="000000"/>
              </w:rPr>
              <w:t>m</w:t>
            </w:r>
            <w:r w:rsidRPr="007F7FFB">
              <w:rPr>
                <w:rFonts w:eastAsia="Times New Roman" w:cs="Times New Roman"/>
                <w:color w:val="000000"/>
                <w:vertAlign w:val="superscript"/>
              </w:rPr>
              <w:t>2</w:t>
            </w:r>
          </w:p>
        </w:tc>
      </w:tr>
      <w:tr w:rsidR="007F7FFB" w:rsidRPr="007F7FFB" w:rsidTr="009F263B">
        <w:trPr>
          <w:cnfStyle w:val="000000100000"/>
          <w:trHeight w:val="603"/>
        </w:trPr>
        <w:tc>
          <w:tcPr>
            <w:cnfStyle w:val="001000000000"/>
            <w:tcW w:w="3361" w:type="pct"/>
            <w:hideMark/>
          </w:tcPr>
          <w:p w:rsidR="007F7FFB" w:rsidRPr="007F7FFB" w:rsidRDefault="007F7FFB" w:rsidP="007F7FFB">
            <w:pPr>
              <w:spacing w:line="240" w:lineRule="auto"/>
              <w:jc w:val="left"/>
              <w:rPr>
                <w:rFonts w:eastAsia="Times New Roman" w:cs="Times New Roman"/>
                <w:b w:val="0"/>
                <w:bCs w:val="0"/>
                <w:color w:val="000000"/>
              </w:rPr>
            </w:pPr>
            <w:r w:rsidRPr="007F7FFB">
              <w:rPr>
                <w:rFonts w:eastAsia="Times New Roman" w:cs="Times New Roman"/>
                <w:b w:val="0"/>
                <w:bCs w:val="0"/>
                <w:color w:val="000000"/>
              </w:rPr>
              <w:t>Łączne zapotrzebowanie na ciepło mieszkań na terenie Mławy</w:t>
            </w:r>
          </w:p>
        </w:tc>
        <w:tc>
          <w:tcPr>
            <w:tcW w:w="860" w:type="pct"/>
            <w:hideMark/>
          </w:tcPr>
          <w:p w:rsidR="007F7FFB" w:rsidRPr="007F7FFB" w:rsidRDefault="007F7FFB" w:rsidP="007F7FFB">
            <w:pPr>
              <w:spacing w:line="240" w:lineRule="auto"/>
              <w:jc w:val="center"/>
              <w:cnfStyle w:val="000000100000"/>
              <w:rPr>
                <w:rFonts w:eastAsia="Times New Roman" w:cs="Times New Roman"/>
                <w:color w:val="000000"/>
              </w:rPr>
            </w:pPr>
            <w:r w:rsidRPr="007F7FFB">
              <w:rPr>
                <w:rFonts w:eastAsia="Times New Roman" w:cs="Times New Roman"/>
                <w:color w:val="000000"/>
              </w:rPr>
              <w:t>103723,2</w:t>
            </w:r>
          </w:p>
        </w:tc>
        <w:tc>
          <w:tcPr>
            <w:tcW w:w="779" w:type="pct"/>
            <w:hideMark/>
          </w:tcPr>
          <w:p w:rsidR="007F7FFB" w:rsidRPr="007F7FFB" w:rsidRDefault="007F7FFB" w:rsidP="007F7FFB">
            <w:pPr>
              <w:spacing w:line="240" w:lineRule="auto"/>
              <w:jc w:val="center"/>
              <w:cnfStyle w:val="000000100000"/>
              <w:rPr>
                <w:rFonts w:eastAsia="Times New Roman" w:cs="Times New Roman"/>
                <w:color w:val="000000"/>
              </w:rPr>
            </w:pPr>
            <w:r w:rsidRPr="007F7FFB">
              <w:rPr>
                <w:rFonts w:eastAsia="Times New Roman" w:cs="Times New Roman"/>
                <w:color w:val="000000"/>
              </w:rPr>
              <w:t>MWh</w:t>
            </w:r>
          </w:p>
        </w:tc>
      </w:tr>
    </w:tbl>
    <w:p w:rsidR="00B0223A" w:rsidRDefault="00B0223A" w:rsidP="00B0223A"/>
    <w:p w:rsidR="007F7FFB" w:rsidRDefault="00944D48" w:rsidP="00561560">
      <w:pPr>
        <w:pStyle w:val="Styl2"/>
      </w:pPr>
      <w:bookmarkStart w:id="191" w:name="_Toc530660614"/>
      <w:bookmarkStart w:id="192" w:name="_Toc535233351"/>
      <w:r>
        <w:t>6.6</w:t>
      </w:r>
      <w:r w:rsidR="007F7FFB">
        <w:t xml:space="preserve"> Wskaźniki emisji zanieczyszczeń</w:t>
      </w:r>
      <w:bookmarkEnd w:id="191"/>
      <w:bookmarkEnd w:id="192"/>
    </w:p>
    <w:p w:rsidR="007F7FFB" w:rsidRDefault="007F7FFB" w:rsidP="007F7FFB">
      <w:r w:rsidRPr="009A751C">
        <w:t>Wwynikuzastosowanianowoczesnychurządzeńgrzewczychzastępującstarenieefektywnekotływęglowezmniejszasięprzedewszystkimemisjazanieczyszczeńgazowychilotnych.Zkoleiprzyspalani</w:t>
      </w:r>
      <w:r w:rsidRPr="009A751C">
        <w:lastRenderedPageBreak/>
        <w:t>ubiomasywzrastaemisjapyłu,cowynikazezdecydowaniewiększejilościspalanegopaliwawstosunkudowęgla.Doobliczeńilościemitowanychroczniezanieczyszczeń</w:t>
      </w:r>
      <w:r>
        <w:t xml:space="preserve"> w przypadku wymiany kotłów </w:t>
      </w:r>
      <w:r w:rsidRPr="009A751C">
        <w:t>zastosowanowskaźnikiemisjiopisane</w:t>
      </w:r>
      <w:r>
        <w:t xml:space="preserve"> w poniższej tabeli.</w:t>
      </w:r>
    </w:p>
    <w:p w:rsidR="007F7FFB" w:rsidRDefault="007F7FFB" w:rsidP="007F7FFB">
      <w:pPr>
        <w:pStyle w:val="Legenda"/>
        <w:keepNext/>
      </w:pPr>
      <w:bookmarkStart w:id="193" w:name="_Toc526430497"/>
      <w:bookmarkStart w:id="194" w:name="_Toc528140013"/>
      <w:bookmarkStart w:id="195" w:name="_Toc528750439"/>
      <w:bookmarkStart w:id="196" w:name="_Toc529348288"/>
      <w:bookmarkStart w:id="197" w:name="_Toc530660055"/>
      <w:bookmarkStart w:id="198" w:name="_Toc535583567"/>
      <w:r>
        <w:t xml:space="preserve">Tabela </w:t>
      </w:r>
      <w:r w:rsidR="00135E52">
        <w:rPr>
          <w:noProof/>
        </w:rPr>
        <w:fldChar w:fldCharType="begin"/>
      </w:r>
      <w:r>
        <w:rPr>
          <w:noProof/>
        </w:rPr>
        <w:instrText xml:space="preserve"> SEQ Tabela \* ARABIC </w:instrText>
      </w:r>
      <w:r w:rsidR="00135E52">
        <w:rPr>
          <w:noProof/>
        </w:rPr>
        <w:fldChar w:fldCharType="separate"/>
      </w:r>
      <w:r w:rsidR="00AD136C">
        <w:rPr>
          <w:noProof/>
        </w:rPr>
        <w:t>8</w:t>
      </w:r>
      <w:r w:rsidR="00135E52">
        <w:rPr>
          <w:noProof/>
        </w:rPr>
        <w:fldChar w:fldCharType="end"/>
      </w:r>
      <w:r w:rsidRPr="00624976">
        <w:t>Wskaźniki redukcji emisji powierzchniowej pyłu zawieszonego PM10 (źródło: wskazówki sporządzania PONE, Urząd Marszałkowski Województwa Mazowieckiego)</w:t>
      </w:r>
      <w:bookmarkEnd w:id="193"/>
      <w:bookmarkEnd w:id="194"/>
      <w:bookmarkEnd w:id="195"/>
      <w:bookmarkEnd w:id="196"/>
      <w:bookmarkEnd w:id="197"/>
      <w:bookmarkEnd w:id="198"/>
    </w:p>
    <w:tbl>
      <w:tblPr>
        <w:tblStyle w:val="GridTable1LightAccent5"/>
        <w:tblW w:w="5000" w:type="pct"/>
        <w:tblLook w:val="04A0"/>
      </w:tblPr>
      <w:tblGrid>
        <w:gridCol w:w="500"/>
        <w:gridCol w:w="6327"/>
        <w:gridCol w:w="2461"/>
      </w:tblGrid>
      <w:tr w:rsidR="007F7FFB" w:rsidRPr="003B70CC" w:rsidTr="009F263B">
        <w:trPr>
          <w:cnfStyle w:val="100000000000"/>
          <w:trHeight w:val="765"/>
        </w:trPr>
        <w:tc>
          <w:tcPr>
            <w:cnfStyle w:val="001000000000"/>
            <w:tcW w:w="269" w:type="pct"/>
            <w:noWrap/>
            <w:hideMark/>
          </w:tcPr>
          <w:p w:rsidR="007F7FFB" w:rsidRPr="008B6F48" w:rsidRDefault="007F7FFB" w:rsidP="007F7FFB">
            <w:pPr>
              <w:pStyle w:val="Mtabela"/>
              <w:keepNext/>
              <w:spacing w:line="360" w:lineRule="auto"/>
              <w:jc w:val="left"/>
              <w:rPr>
                <w:rFonts w:asciiTheme="majorHAnsi" w:hAnsiTheme="majorHAnsi" w:cstheme="majorHAnsi"/>
                <w:bCs w:val="0"/>
                <w:sz w:val="20"/>
                <w:szCs w:val="20"/>
              </w:rPr>
            </w:pPr>
            <w:r w:rsidRPr="008B6F48">
              <w:rPr>
                <w:rFonts w:asciiTheme="majorHAnsi" w:hAnsiTheme="majorHAnsi" w:cstheme="majorHAnsi"/>
                <w:bCs w:val="0"/>
                <w:sz w:val="20"/>
                <w:szCs w:val="20"/>
              </w:rPr>
              <w:t>Lp.</w:t>
            </w:r>
          </w:p>
        </w:tc>
        <w:tc>
          <w:tcPr>
            <w:tcW w:w="3406" w:type="pct"/>
            <w:hideMark/>
          </w:tcPr>
          <w:p w:rsidR="007F7FFB" w:rsidRPr="008B6F48" w:rsidRDefault="007F7FFB" w:rsidP="007F7FFB">
            <w:pPr>
              <w:pStyle w:val="Mtabela"/>
              <w:keepNext/>
              <w:spacing w:line="360"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Działania naprawcze</w:t>
            </w:r>
          </w:p>
        </w:tc>
        <w:tc>
          <w:tcPr>
            <w:tcW w:w="1325" w:type="pct"/>
            <w:hideMark/>
          </w:tcPr>
          <w:p w:rsidR="007F7FFB" w:rsidRPr="008B6F48" w:rsidRDefault="007F7FFB" w:rsidP="007F7FFB">
            <w:pPr>
              <w:pStyle w:val="Mtabela"/>
              <w:keepNext/>
              <w:spacing w:line="276"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Efekt redukcji emisji pyłu zawieszonego PM10</w:t>
            </w:r>
          </w:p>
          <w:p w:rsidR="007F7FFB" w:rsidRPr="008B6F48" w:rsidRDefault="007F7FFB" w:rsidP="007F7FFB">
            <w:pPr>
              <w:pStyle w:val="Mtabela"/>
              <w:keepNext/>
              <w:spacing w:line="276"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[kg/m</w:t>
            </w:r>
            <w:r w:rsidRPr="008B6F48">
              <w:rPr>
                <w:rFonts w:asciiTheme="majorHAnsi" w:hAnsiTheme="majorHAnsi" w:cstheme="majorHAnsi"/>
                <w:bCs w:val="0"/>
                <w:sz w:val="20"/>
                <w:szCs w:val="20"/>
                <w:vertAlign w:val="superscript"/>
              </w:rPr>
              <w:t>2</w:t>
            </w:r>
            <w:r w:rsidRPr="008B6F48">
              <w:rPr>
                <w:rFonts w:asciiTheme="majorHAnsi" w:hAnsiTheme="majorHAnsi" w:cstheme="majorHAnsi"/>
                <w:bCs w:val="0"/>
                <w:sz w:val="20"/>
                <w:szCs w:val="20"/>
              </w:rPr>
              <w:t>/rok]*</w:t>
            </w:r>
          </w:p>
        </w:tc>
      </w:tr>
      <w:tr w:rsidR="007F7FFB" w:rsidRPr="003B70CC" w:rsidTr="009F263B">
        <w:trPr>
          <w:trHeight w:val="397"/>
        </w:trPr>
        <w:tc>
          <w:tcPr>
            <w:cnfStyle w:val="001000000000"/>
            <w:tcW w:w="269" w:type="pct"/>
            <w:noWrap/>
            <w:hideMark/>
          </w:tcPr>
          <w:p w:rsidR="007F7FFB" w:rsidRPr="003B70CC" w:rsidRDefault="007F7FFB" w:rsidP="007F7FFB">
            <w:pPr>
              <w:pStyle w:val="Mtabela"/>
              <w:keepNext/>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1.</w:t>
            </w:r>
          </w:p>
        </w:tc>
        <w:tc>
          <w:tcPr>
            <w:tcW w:w="3406" w:type="pct"/>
            <w:hideMark/>
          </w:tcPr>
          <w:p w:rsidR="007F7FFB" w:rsidRPr="003B70CC" w:rsidRDefault="007F7FFB" w:rsidP="007F7FFB">
            <w:pPr>
              <w:pStyle w:val="Mtabela"/>
              <w:keepNext/>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podłączenie lokalu do sieci cieplnej</w:t>
            </w:r>
          </w:p>
        </w:tc>
        <w:tc>
          <w:tcPr>
            <w:tcW w:w="1325" w:type="pct"/>
            <w:noWrap/>
            <w:hideMark/>
          </w:tcPr>
          <w:p w:rsidR="007F7FFB" w:rsidRPr="003B70CC" w:rsidRDefault="007F7FFB" w:rsidP="007F7FFB">
            <w:pPr>
              <w:pStyle w:val="Mtabela"/>
              <w:keepNext/>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0,4724</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2.</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ogrzewania węglowego na elektryczne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0,4724</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3.</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starych kotłów węglowych na nowe zasilane ręcznie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0,0282</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4.</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starych kotłów węglowych na nowe zasilane automatycznie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0,1918</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5.</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kotłów węglowych na kotły na biomasę zasilane automatycznie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0,1918</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6.</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kotłów węglowych na kotły na pel</w:t>
            </w:r>
            <w:r>
              <w:rPr>
                <w:rFonts w:asciiTheme="majorHAnsi" w:hAnsiTheme="majorHAnsi" w:cstheme="majorHAnsi"/>
                <w:sz w:val="20"/>
                <w:szCs w:val="20"/>
              </w:rPr>
              <w:t>l</w:t>
            </w:r>
            <w:r w:rsidRPr="003B70CC">
              <w:rPr>
                <w:rFonts w:asciiTheme="majorHAnsi" w:hAnsiTheme="majorHAnsi" w:cstheme="majorHAnsi"/>
                <w:sz w:val="20"/>
                <w:szCs w:val="20"/>
              </w:rPr>
              <w:t>ety zasilane automatycznie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0,3836</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7.</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ogrzewania węglowego na gazowe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0,4718</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8.</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ogrzewania węglowego na olejowe</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0,4681</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9.</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wymiana ogrzewania węglowego na pompę ciepła</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0,4724</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10.</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zastosowanie kolektorów słonecznych</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0,0364</w:t>
            </w:r>
          </w:p>
        </w:tc>
      </w:tr>
      <w:tr w:rsidR="007F7FFB" w:rsidRPr="003B70CC" w:rsidTr="009F263B">
        <w:trPr>
          <w:trHeight w:val="397"/>
        </w:trPr>
        <w:tc>
          <w:tcPr>
            <w:cnfStyle w:val="001000000000"/>
            <w:tcW w:w="269" w:type="pct"/>
            <w:noWrap/>
            <w:hideMark/>
          </w:tcPr>
          <w:p w:rsidR="007F7FFB" w:rsidRPr="003B70CC" w:rsidRDefault="007F7FFB" w:rsidP="007F7FFB">
            <w:pPr>
              <w:pStyle w:val="Mtabela"/>
              <w:spacing w:line="360" w:lineRule="auto"/>
              <w:jc w:val="left"/>
              <w:rPr>
                <w:rFonts w:asciiTheme="majorHAnsi" w:hAnsiTheme="majorHAnsi" w:cstheme="majorHAnsi"/>
                <w:sz w:val="20"/>
                <w:szCs w:val="20"/>
              </w:rPr>
            </w:pPr>
            <w:r w:rsidRPr="003B70CC">
              <w:rPr>
                <w:rFonts w:asciiTheme="majorHAnsi" w:hAnsiTheme="majorHAnsi" w:cstheme="majorHAnsi"/>
                <w:sz w:val="20"/>
                <w:szCs w:val="20"/>
              </w:rPr>
              <w:t>11.</w:t>
            </w:r>
          </w:p>
        </w:tc>
        <w:tc>
          <w:tcPr>
            <w:tcW w:w="3406" w:type="pct"/>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termomodernizacja</w:t>
            </w:r>
          </w:p>
        </w:tc>
        <w:tc>
          <w:tcPr>
            <w:tcW w:w="1325" w:type="pct"/>
            <w:noWrap/>
            <w:hideMark/>
          </w:tcPr>
          <w:p w:rsidR="007F7FFB" w:rsidRPr="003B70CC" w:rsidRDefault="007F7FFB" w:rsidP="007F7FFB">
            <w:pPr>
              <w:pStyle w:val="Mtabela"/>
              <w:spacing w:line="360" w:lineRule="auto"/>
              <w:jc w:val="left"/>
              <w:cnfStyle w:val="000000000000"/>
              <w:rPr>
                <w:rFonts w:asciiTheme="majorHAnsi" w:hAnsiTheme="majorHAnsi" w:cstheme="majorHAnsi"/>
                <w:sz w:val="20"/>
                <w:szCs w:val="20"/>
              </w:rPr>
            </w:pPr>
            <w:r w:rsidRPr="003B70CC">
              <w:rPr>
                <w:rFonts w:asciiTheme="majorHAnsi" w:hAnsiTheme="majorHAnsi" w:cstheme="majorHAnsi"/>
                <w:sz w:val="20"/>
                <w:szCs w:val="20"/>
              </w:rPr>
              <w:t>0,1417</w:t>
            </w:r>
          </w:p>
        </w:tc>
      </w:tr>
    </w:tbl>
    <w:p w:rsidR="007F7FFB" w:rsidRDefault="007F7FFB" w:rsidP="007F7FFB">
      <w:pPr>
        <w:pStyle w:val="Legenda"/>
        <w:keepNext/>
      </w:pPr>
      <w:bookmarkStart w:id="199" w:name="_Toc526430498"/>
      <w:bookmarkStart w:id="200" w:name="_Toc528140014"/>
      <w:bookmarkStart w:id="201" w:name="_Toc528750440"/>
      <w:bookmarkStart w:id="202" w:name="_Toc529348289"/>
      <w:bookmarkStart w:id="203" w:name="_Toc530660056"/>
      <w:bookmarkStart w:id="204" w:name="_Toc535583568"/>
      <w:r>
        <w:t xml:space="preserve">Tabela </w:t>
      </w:r>
      <w:r w:rsidR="00135E52">
        <w:rPr>
          <w:noProof/>
        </w:rPr>
        <w:fldChar w:fldCharType="begin"/>
      </w:r>
      <w:r>
        <w:rPr>
          <w:noProof/>
        </w:rPr>
        <w:instrText xml:space="preserve"> SEQ Tabela \* ARABIC </w:instrText>
      </w:r>
      <w:r w:rsidR="00135E52">
        <w:rPr>
          <w:noProof/>
        </w:rPr>
        <w:fldChar w:fldCharType="separate"/>
      </w:r>
      <w:r w:rsidR="00AD136C">
        <w:rPr>
          <w:noProof/>
        </w:rPr>
        <w:t>9</w:t>
      </w:r>
      <w:r w:rsidR="00135E52">
        <w:rPr>
          <w:noProof/>
        </w:rPr>
        <w:fldChar w:fldCharType="end"/>
      </w:r>
      <w:r w:rsidRPr="00C22FE4">
        <w:t>Wskaźniki redukcji emisji powierzchniowej pyłu zawieszonego PM2,5 (źródło: wskazówki sporządzania PONE, Urząd Marszałkowski Województwa Mazowieckiego)</w:t>
      </w:r>
      <w:bookmarkEnd w:id="199"/>
      <w:bookmarkEnd w:id="200"/>
      <w:bookmarkEnd w:id="201"/>
      <w:bookmarkEnd w:id="202"/>
      <w:bookmarkEnd w:id="203"/>
      <w:bookmarkEnd w:id="204"/>
    </w:p>
    <w:tbl>
      <w:tblPr>
        <w:tblStyle w:val="GridTable1LightAccent5"/>
        <w:tblW w:w="5000" w:type="pct"/>
        <w:tblLook w:val="04A0"/>
      </w:tblPr>
      <w:tblGrid>
        <w:gridCol w:w="500"/>
        <w:gridCol w:w="6327"/>
        <w:gridCol w:w="2461"/>
      </w:tblGrid>
      <w:tr w:rsidR="007F7FFB" w:rsidRPr="00F85A94" w:rsidTr="009F263B">
        <w:trPr>
          <w:cnfStyle w:val="100000000000"/>
          <w:trHeight w:val="765"/>
        </w:trPr>
        <w:tc>
          <w:tcPr>
            <w:cnfStyle w:val="001000000000"/>
            <w:tcW w:w="269" w:type="pct"/>
            <w:noWrap/>
            <w:hideMark/>
          </w:tcPr>
          <w:p w:rsidR="007F7FFB" w:rsidRPr="008B6F48" w:rsidRDefault="007F7FFB" w:rsidP="007F7FFB">
            <w:pPr>
              <w:pStyle w:val="Mtabela"/>
              <w:keepNext/>
              <w:spacing w:line="360" w:lineRule="auto"/>
              <w:jc w:val="left"/>
              <w:rPr>
                <w:rFonts w:asciiTheme="majorHAnsi" w:hAnsiTheme="majorHAnsi" w:cstheme="majorHAnsi"/>
                <w:bCs w:val="0"/>
                <w:sz w:val="20"/>
                <w:szCs w:val="20"/>
              </w:rPr>
            </w:pPr>
            <w:r w:rsidRPr="008B6F48">
              <w:rPr>
                <w:rFonts w:asciiTheme="majorHAnsi" w:hAnsiTheme="majorHAnsi" w:cstheme="majorHAnsi"/>
                <w:bCs w:val="0"/>
                <w:sz w:val="20"/>
                <w:szCs w:val="20"/>
              </w:rPr>
              <w:t>Lp.</w:t>
            </w:r>
          </w:p>
        </w:tc>
        <w:tc>
          <w:tcPr>
            <w:tcW w:w="3406" w:type="pct"/>
            <w:hideMark/>
          </w:tcPr>
          <w:p w:rsidR="007F7FFB" w:rsidRPr="008B6F48" w:rsidRDefault="007F7FFB" w:rsidP="007F7FFB">
            <w:pPr>
              <w:pStyle w:val="Mtabela"/>
              <w:keepNext/>
              <w:spacing w:line="360"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Działania naprawcze</w:t>
            </w:r>
          </w:p>
        </w:tc>
        <w:tc>
          <w:tcPr>
            <w:tcW w:w="1325" w:type="pct"/>
            <w:hideMark/>
          </w:tcPr>
          <w:p w:rsidR="007F7FFB" w:rsidRPr="008B6F48" w:rsidRDefault="007F7FFB" w:rsidP="007F7FFB">
            <w:pPr>
              <w:pStyle w:val="Mtabela"/>
              <w:keepNext/>
              <w:spacing w:line="276"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Efekt redukcji emisji pyłu zawieszonego PM2,5</w:t>
            </w:r>
          </w:p>
          <w:p w:rsidR="007F7FFB" w:rsidRPr="008B6F48" w:rsidRDefault="007F7FFB" w:rsidP="007F7FFB">
            <w:pPr>
              <w:pStyle w:val="Mtabela"/>
              <w:keepNext/>
              <w:spacing w:line="276" w:lineRule="auto"/>
              <w:jc w:val="left"/>
              <w:cnfStyle w:val="100000000000"/>
              <w:rPr>
                <w:rFonts w:asciiTheme="majorHAnsi" w:hAnsiTheme="majorHAnsi" w:cstheme="majorHAnsi"/>
                <w:bCs w:val="0"/>
                <w:sz w:val="20"/>
                <w:szCs w:val="20"/>
              </w:rPr>
            </w:pPr>
            <w:r w:rsidRPr="008B6F48">
              <w:rPr>
                <w:rFonts w:asciiTheme="majorHAnsi" w:hAnsiTheme="majorHAnsi" w:cstheme="majorHAnsi"/>
                <w:bCs w:val="0"/>
                <w:sz w:val="20"/>
                <w:szCs w:val="20"/>
              </w:rPr>
              <w:t>[kg/m</w:t>
            </w:r>
            <w:r w:rsidRPr="008B6F48">
              <w:rPr>
                <w:rFonts w:asciiTheme="majorHAnsi" w:hAnsiTheme="majorHAnsi" w:cstheme="majorHAnsi"/>
                <w:bCs w:val="0"/>
                <w:sz w:val="20"/>
                <w:szCs w:val="20"/>
                <w:vertAlign w:val="superscript"/>
              </w:rPr>
              <w:t>2</w:t>
            </w:r>
            <w:r w:rsidRPr="008B6F48">
              <w:rPr>
                <w:rFonts w:asciiTheme="majorHAnsi" w:hAnsiTheme="majorHAnsi" w:cstheme="majorHAnsi"/>
                <w:bCs w:val="0"/>
                <w:sz w:val="20"/>
                <w:szCs w:val="20"/>
              </w:rPr>
              <w:t>/rok]*</w:t>
            </w:r>
          </w:p>
        </w:tc>
      </w:tr>
      <w:tr w:rsidR="007F7FFB" w:rsidRPr="00F85A94" w:rsidTr="009F263B">
        <w:trPr>
          <w:trHeight w:val="397"/>
        </w:trPr>
        <w:tc>
          <w:tcPr>
            <w:cnfStyle w:val="001000000000"/>
            <w:tcW w:w="269" w:type="pct"/>
            <w:noWrap/>
            <w:hideMark/>
          </w:tcPr>
          <w:p w:rsidR="007F7FFB" w:rsidRPr="00F85A94" w:rsidRDefault="007F7FFB" w:rsidP="007F7FFB">
            <w:pPr>
              <w:pStyle w:val="Mtabela"/>
              <w:keepNext/>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1.</w:t>
            </w:r>
          </w:p>
        </w:tc>
        <w:tc>
          <w:tcPr>
            <w:tcW w:w="3406" w:type="pct"/>
            <w:hideMark/>
          </w:tcPr>
          <w:p w:rsidR="007F7FFB" w:rsidRPr="00F85A94" w:rsidRDefault="007F7FFB" w:rsidP="007F7FFB">
            <w:pPr>
              <w:pStyle w:val="Mtabela"/>
              <w:keepNext/>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podłączenie lokalu do sieci cieplnej</w:t>
            </w:r>
          </w:p>
        </w:tc>
        <w:tc>
          <w:tcPr>
            <w:tcW w:w="1325" w:type="pct"/>
            <w:noWrap/>
            <w:hideMark/>
          </w:tcPr>
          <w:p w:rsidR="007F7FFB" w:rsidRPr="00F85A94" w:rsidRDefault="007F7FFB" w:rsidP="007F7FFB">
            <w:pPr>
              <w:pStyle w:val="Mtabela"/>
              <w:keepNext/>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0,4653</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2.</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ogrzewania węglowego na elektryczne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0,4653</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3.</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starych kotłów węglowych na nowe zasilane ręcznie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0,0444</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4.</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starych kotłów węglowych na nowe zasilane automatycznie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0,2081</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5.</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kotłów węglowych na kotły na biomasę zasilane automatycznie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0,1847</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6.</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kotłów węglowych na kotły na pe</w:t>
            </w:r>
            <w:r>
              <w:rPr>
                <w:rFonts w:asciiTheme="majorHAnsi" w:hAnsiTheme="majorHAnsi" w:cstheme="majorHAnsi"/>
                <w:sz w:val="20"/>
                <w:szCs w:val="20"/>
              </w:rPr>
              <w:t>l</w:t>
            </w:r>
            <w:r w:rsidRPr="00F85A94">
              <w:rPr>
                <w:rFonts w:asciiTheme="majorHAnsi" w:hAnsiTheme="majorHAnsi" w:cstheme="majorHAnsi"/>
                <w:sz w:val="20"/>
                <w:szCs w:val="20"/>
              </w:rPr>
              <w:t>lety zasilane automatycznie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0,3764</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7.</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ogrzewania węglowego na gazowe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0,4647</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8.</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ogrzewania węglowego na olejowe</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0,4609</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9.</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wymiana ogrzewania węglowego na pompę ciepła</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0,4653</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10.</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zastosowanie kolektorów słonecznych</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0,0358</w:t>
            </w:r>
          </w:p>
        </w:tc>
      </w:tr>
      <w:tr w:rsidR="007F7FFB" w:rsidRPr="00F85A94" w:rsidTr="009F263B">
        <w:trPr>
          <w:trHeight w:val="397"/>
        </w:trPr>
        <w:tc>
          <w:tcPr>
            <w:cnfStyle w:val="001000000000"/>
            <w:tcW w:w="269" w:type="pct"/>
            <w:noWrap/>
            <w:hideMark/>
          </w:tcPr>
          <w:p w:rsidR="007F7FFB" w:rsidRPr="00F85A94" w:rsidRDefault="007F7FFB" w:rsidP="007F7FFB">
            <w:pPr>
              <w:pStyle w:val="Mtabela"/>
              <w:spacing w:line="360" w:lineRule="auto"/>
              <w:jc w:val="left"/>
              <w:rPr>
                <w:rFonts w:asciiTheme="majorHAnsi" w:hAnsiTheme="majorHAnsi" w:cstheme="majorHAnsi"/>
                <w:sz w:val="20"/>
                <w:szCs w:val="20"/>
              </w:rPr>
            </w:pPr>
            <w:r w:rsidRPr="00F85A94">
              <w:rPr>
                <w:rFonts w:asciiTheme="majorHAnsi" w:hAnsiTheme="majorHAnsi" w:cstheme="majorHAnsi"/>
                <w:sz w:val="20"/>
                <w:szCs w:val="20"/>
              </w:rPr>
              <w:t>11.</w:t>
            </w:r>
          </w:p>
        </w:tc>
        <w:tc>
          <w:tcPr>
            <w:tcW w:w="3406" w:type="pct"/>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termomodernizacja</w:t>
            </w:r>
          </w:p>
        </w:tc>
        <w:tc>
          <w:tcPr>
            <w:tcW w:w="1325" w:type="pct"/>
            <w:noWrap/>
            <w:hideMark/>
          </w:tcPr>
          <w:p w:rsidR="007F7FFB" w:rsidRPr="00F85A94" w:rsidRDefault="007F7FFB" w:rsidP="007F7FFB">
            <w:pPr>
              <w:pStyle w:val="Mtabela"/>
              <w:spacing w:line="360" w:lineRule="auto"/>
              <w:jc w:val="left"/>
              <w:cnfStyle w:val="000000000000"/>
              <w:rPr>
                <w:rFonts w:asciiTheme="majorHAnsi" w:hAnsiTheme="majorHAnsi" w:cstheme="majorHAnsi"/>
                <w:sz w:val="20"/>
                <w:szCs w:val="20"/>
              </w:rPr>
            </w:pPr>
            <w:r w:rsidRPr="00F85A94">
              <w:rPr>
                <w:rFonts w:asciiTheme="majorHAnsi" w:hAnsiTheme="majorHAnsi" w:cstheme="majorHAnsi"/>
                <w:sz w:val="20"/>
                <w:szCs w:val="20"/>
              </w:rPr>
              <w:t>0,1395</w:t>
            </w:r>
          </w:p>
        </w:tc>
      </w:tr>
    </w:tbl>
    <w:p w:rsidR="007F7FFB" w:rsidRDefault="007F7FFB" w:rsidP="007F7FFB">
      <w:pPr>
        <w:rPr>
          <w:sz w:val="20"/>
        </w:rPr>
      </w:pPr>
      <w:r w:rsidRPr="00B331A4">
        <w:rPr>
          <w:sz w:val="20"/>
        </w:rPr>
        <w:t>*dotyczy powierzchni użytkowej lokali</w:t>
      </w:r>
      <w:r>
        <w:rPr>
          <w:sz w:val="20"/>
        </w:rPr>
        <w:t>/</w:t>
      </w:r>
      <w:r w:rsidRPr="00B331A4">
        <w:rPr>
          <w:sz w:val="20"/>
        </w:rPr>
        <w:t>budynków, w których przeprowadzono dane działanie naprawcze</w:t>
      </w:r>
      <w:r>
        <w:rPr>
          <w:sz w:val="20"/>
        </w:rPr>
        <w:t>.</w:t>
      </w:r>
    </w:p>
    <w:p w:rsidR="00566DB4" w:rsidRPr="00A56A17" w:rsidRDefault="00566DB4" w:rsidP="007F7FFB">
      <w:pPr>
        <w:rPr>
          <w:sz w:val="20"/>
        </w:rPr>
      </w:pPr>
    </w:p>
    <w:p w:rsidR="007F7FFB" w:rsidRDefault="004A1341" w:rsidP="00561560">
      <w:pPr>
        <w:pStyle w:val="Styl3"/>
      </w:pPr>
      <w:bookmarkStart w:id="205" w:name="_Toc530660615"/>
      <w:bookmarkStart w:id="206" w:name="_Toc535233352"/>
      <w:r>
        <w:t>6.6</w:t>
      </w:r>
      <w:r w:rsidR="007F7FFB">
        <w:t>.1 Efekt ekologiczny</w:t>
      </w:r>
      <w:bookmarkEnd w:id="205"/>
      <w:bookmarkEnd w:id="206"/>
    </w:p>
    <w:p w:rsidR="007F7FFB" w:rsidRPr="00EB5019" w:rsidRDefault="007F7FFB" w:rsidP="007F7FFB">
      <w:r>
        <w:t xml:space="preserve">Efekt ekologiczny jest rozumiany jako różnica w poziomie emisji pyłowo-gazowej określonej dla stanu istniejącego i docelowego. </w:t>
      </w:r>
    </w:p>
    <w:p w:rsidR="007F7FFB" w:rsidRDefault="007F7FFB" w:rsidP="007F7FFB">
      <w:r>
        <w:t xml:space="preserve">W poniższej tabeli zawarto dane obrazujące w jaki sposób podjęte działania i modernizacje przyczynią się do redukcji emisji pyłów zawieszonych PM10 i PM2.5 w skali roku. </w:t>
      </w:r>
    </w:p>
    <w:p w:rsidR="007F7FFB" w:rsidRDefault="007F7FFB" w:rsidP="007F7FFB">
      <w:pPr>
        <w:pStyle w:val="Legenda"/>
        <w:keepNext/>
      </w:pPr>
      <w:bookmarkStart w:id="207" w:name="_Toc535583569"/>
      <w:r>
        <w:t xml:space="preserve">Tabela </w:t>
      </w:r>
      <w:r w:rsidR="00135E52">
        <w:rPr>
          <w:noProof/>
        </w:rPr>
        <w:fldChar w:fldCharType="begin"/>
      </w:r>
      <w:r w:rsidR="00CE339D">
        <w:rPr>
          <w:noProof/>
        </w:rPr>
        <w:instrText xml:space="preserve"> SEQ Tabela \* ARABIC </w:instrText>
      </w:r>
      <w:r w:rsidR="00135E52">
        <w:rPr>
          <w:noProof/>
        </w:rPr>
        <w:fldChar w:fldCharType="separate"/>
      </w:r>
      <w:r w:rsidR="00AD136C">
        <w:rPr>
          <w:noProof/>
        </w:rPr>
        <w:t>10</w:t>
      </w:r>
      <w:r w:rsidR="00135E52">
        <w:rPr>
          <w:noProof/>
        </w:rPr>
        <w:fldChar w:fldCharType="end"/>
      </w:r>
      <w:r w:rsidRPr="000E6F64">
        <w:t>Szacowana redukcje emisji pyłów zawieszonych PM10 i PM2.5 przy wdrożeniu działań założonych dla modernizowanych budynków.</w:t>
      </w:r>
      <w:bookmarkEnd w:id="207"/>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226"/>
        <w:gridCol w:w="1781"/>
        <w:gridCol w:w="1581"/>
        <w:gridCol w:w="1581"/>
        <w:gridCol w:w="1581"/>
      </w:tblGrid>
      <w:tr w:rsidR="007D55DC" w:rsidRPr="007D55DC" w:rsidTr="009F263B">
        <w:trPr>
          <w:cnfStyle w:val="100000000000"/>
          <w:trHeight w:val="580"/>
        </w:trPr>
        <w:tc>
          <w:tcPr>
            <w:cnfStyle w:val="001000000000"/>
            <w:tcW w:w="289" w:type="pct"/>
            <w:tcBorders>
              <w:top w:val="none" w:sz="0" w:space="0" w:color="auto"/>
              <w:left w:val="none" w:sz="0" w:space="0" w:color="auto"/>
              <w:right w:val="none" w:sz="0" w:space="0" w:color="auto"/>
            </w:tcBorders>
            <w:noWrap/>
            <w:hideMark/>
          </w:tcPr>
          <w:p w:rsidR="007D55DC" w:rsidRPr="009F263B" w:rsidRDefault="007D55DC" w:rsidP="007D55DC">
            <w:pPr>
              <w:spacing w:line="240" w:lineRule="auto"/>
              <w:jc w:val="center"/>
              <w:rPr>
                <w:rFonts w:eastAsia="Times New Roman" w:cs="Times New Roman"/>
                <w:bCs w:val="0"/>
                <w:color w:val="000000"/>
              </w:rPr>
            </w:pPr>
            <w:r w:rsidRPr="009F263B">
              <w:rPr>
                <w:rFonts w:eastAsia="Times New Roman" w:cs="Times New Roman"/>
                <w:bCs w:val="0"/>
                <w:color w:val="000000"/>
              </w:rPr>
              <w:t xml:space="preserve">Lp. </w:t>
            </w:r>
          </w:p>
        </w:tc>
        <w:tc>
          <w:tcPr>
            <w:tcW w:w="1198" w:type="pct"/>
            <w:tcBorders>
              <w:top w:val="none" w:sz="0" w:space="0" w:color="auto"/>
              <w:left w:val="none" w:sz="0" w:space="0" w:color="auto"/>
              <w:right w:val="none" w:sz="0" w:space="0" w:color="auto"/>
            </w:tcBorders>
            <w:noWrap/>
            <w:hideMark/>
          </w:tcPr>
          <w:p w:rsidR="007D55DC" w:rsidRPr="009F263B" w:rsidRDefault="007D55DC" w:rsidP="007D55DC">
            <w:pPr>
              <w:spacing w:line="240" w:lineRule="auto"/>
              <w:jc w:val="center"/>
              <w:cnfStyle w:val="100000000000"/>
              <w:rPr>
                <w:rFonts w:eastAsia="Times New Roman" w:cs="Times New Roman"/>
                <w:bCs w:val="0"/>
                <w:color w:val="000000"/>
              </w:rPr>
            </w:pPr>
            <w:r w:rsidRPr="009F263B">
              <w:rPr>
                <w:rFonts w:eastAsia="Times New Roman" w:cs="Times New Roman"/>
                <w:bCs w:val="0"/>
                <w:color w:val="000000"/>
              </w:rPr>
              <w:t>Działanie</w:t>
            </w:r>
          </w:p>
        </w:tc>
        <w:tc>
          <w:tcPr>
            <w:tcW w:w="959" w:type="pct"/>
            <w:tcBorders>
              <w:top w:val="none" w:sz="0" w:space="0" w:color="auto"/>
              <w:left w:val="none" w:sz="0" w:space="0" w:color="auto"/>
              <w:right w:val="none" w:sz="0" w:space="0" w:color="auto"/>
            </w:tcBorders>
            <w:hideMark/>
          </w:tcPr>
          <w:p w:rsidR="007D55DC" w:rsidRPr="009F263B" w:rsidRDefault="007D55DC" w:rsidP="007D55DC">
            <w:pPr>
              <w:spacing w:line="240" w:lineRule="auto"/>
              <w:jc w:val="center"/>
              <w:cnfStyle w:val="100000000000"/>
              <w:rPr>
                <w:rFonts w:eastAsia="Times New Roman" w:cs="Times New Roman"/>
                <w:bCs w:val="0"/>
                <w:color w:val="000000"/>
              </w:rPr>
            </w:pPr>
            <w:r w:rsidRPr="009F263B">
              <w:rPr>
                <w:rFonts w:eastAsia="Times New Roman" w:cs="Times New Roman"/>
                <w:bCs w:val="0"/>
                <w:color w:val="000000"/>
              </w:rPr>
              <w:t xml:space="preserve">Średnia powierzchnia budynku mieszkalnego </w:t>
            </w:r>
          </w:p>
        </w:tc>
        <w:tc>
          <w:tcPr>
            <w:tcW w:w="851" w:type="pct"/>
            <w:tcBorders>
              <w:top w:val="none" w:sz="0" w:space="0" w:color="auto"/>
              <w:left w:val="none" w:sz="0" w:space="0" w:color="auto"/>
              <w:right w:val="none" w:sz="0" w:space="0" w:color="auto"/>
            </w:tcBorders>
            <w:hideMark/>
          </w:tcPr>
          <w:p w:rsidR="007D55DC" w:rsidRPr="009F263B" w:rsidRDefault="007D55DC" w:rsidP="007D55DC">
            <w:pPr>
              <w:spacing w:line="240" w:lineRule="auto"/>
              <w:jc w:val="center"/>
              <w:cnfStyle w:val="100000000000"/>
              <w:rPr>
                <w:rFonts w:eastAsia="Times New Roman" w:cs="Times New Roman"/>
                <w:bCs w:val="0"/>
                <w:color w:val="000000"/>
              </w:rPr>
            </w:pPr>
            <w:r w:rsidRPr="009F263B">
              <w:rPr>
                <w:rFonts w:eastAsia="Times New Roman" w:cs="Times New Roman"/>
                <w:bCs w:val="0"/>
                <w:color w:val="000000"/>
              </w:rPr>
              <w:t>Liczba modernizacji</w:t>
            </w:r>
          </w:p>
        </w:tc>
        <w:tc>
          <w:tcPr>
            <w:tcW w:w="851" w:type="pct"/>
            <w:tcBorders>
              <w:top w:val="none" w:sz="0" w:space="0" w:color="auto"/>
              <w:left w:val="none" w:sz="0" w:space="0" w:color="auto"/>
              <w:right w:val="none" w:sz="0" w:space="0" w:color="auto"/>
            </w:tcBorders>
            <w:hideMark/>
          </w:tcPr>
          <w:p w:rsidR="007D55DC" w:rsidRPr="009F263B" w:rsidRDefault="007D55DC" w:rsidP="007D55DC">
            <w:pPr>
              <w:spacing w:line="240" w:lineRule="auto"/>
              <w:jc w:val="center"/>
              <w:cnfStyle w:val="100000000000"/>
              <w:rPr>
                <w:rFonts w:eastAsia="Times New Roman" w:cs="Times New Roman"/>
                <w:bCs w:val="0"/>
                <w:color w:val="000000"/>
              </w:rPr>
            </w:pPr>
            <w:r w:rsidRPr="009F263B">
              <w:rPr>
                <w:rFonts w:eastAsia="Times New Roman" w:cs="Times New Roman"/>
                <w:bCs w:val="0"/>
                <w:color w:val="000000"/>
              </w:rPr>
              <w:t>Redukcja emisji PM10 [Mg/rok]</w:t>
            </w:r>
          </w:p>
        </w:tc>
        <w:tc>
          <w:tcPr>
            <w:tcW w:w="851" w:type="pct"/>
            <w:tcBorders>
              <w:top w:val="none" w:sz="0" w:space="0" w:color="auto"/>
              <w:left w:val="none" w:sz="0" w:space="0" w:color="auto"/>
              <w:right w:val="none" w:sz="0" w:space="0" w:color="auto"/>
            </w:tcBorders>
            <w:hideMark/>
          </w:tcPr>
          <w:p w:rsidR="007D55DC" w:rsidRPr="009F263B" w:rsidRDefault="007D55DC" w:rsidP="007D55DC">
            <w:pPr>
              <w:spacing w:line="240" w:lineRule="auto"/>
              <w:jc w:val="center"/>
              <w:cnfStyle w:val="100000000000"/>
              <w:rPr>
                <w:rFonts w:eastAsia="Times New Roman" w:cs="Times New Roman"/>
                <w:bCs w:val="0"/>
                <w:color w:val="000000"/>
              </w:rPr>
            </w:pPr>
            <w:r w:rsidRPr="009F263B">
              <w:rPr>
                <w:rFonts w:eastAsia="Times New Roman" w:cs="Times New Roman"/>
                <w:bCs w:val="0"/>
                <w:color w:val="000000"/>
              </w:rPr>
              <w:t>Redukcja emisji pyłu PM2,5 [Mg/rok]</w:t>
            </w:r>
          </w:p>
        </w:tc>
      </w:tr>
      <w:tr w:rsidR="007D55DC" w:rsidRPr="007D55DC" w:rsidTr="009F263B">
        <w:trPr>
          <w:cnfStyle w:val="000000100000"/>
          <w:trHeight w:val="29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1</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Podłączenie lokalu do sieci cieplnej</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40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1,32</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1,30</w:t>
            </w:r>
          </w:p>
        </w:tc>
      </w:tr>
      <w:tr w:rsidR="007D55DC" w:rsidRPr="007D55DC" w:rsidTr="009F263B">
        <w:trPr>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2</w:t>
            </w:r>
          </w:p>
        </w:tc>
        <w:tc>
          <w:tcPr>
            <w:tcW w:w="1198"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Wymiana ogrzewania węglowego na elektryczne</w:t>
            </w:r>
          </w:p>
        </w:tc>
        <w:tc>
          <w:tcPr>
            <w:tcW w:w="959"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60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1,98</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1,95</w:t>
            </w:r>
          </w:p>
        </w:tc>
      </w:tr>
      <w:tr w:rsidR="007D55DC" w:rsidRPr="007D55DC" w:rsidTr="009F263B">
        <w:trPr>
          <w:cnfStyle w:val="000000100000"/>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3</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Wymiana starych kotłów węglowych na nowe zasilane ręcznie</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6</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0,01</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0,02</w:t>
            </w:r>
          </w:p>
        </w:tc>
      </w:tr>
      <w:tr w:rsidR="007D55DC" w:rsidRPr="007D55DC" w:rsidTr="009F263B">
        <w:trPr>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4</w:t>
            </w:r>
          </w:p>
        </w:tc>
        <w:tc>
          <w:tcPr>
            <w:tcW w:w="1198"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Wymiana starych kotłów węglowych na nowe zasilane automatycznie</w:t>
            </w:r>
          </w:p>
        </w:tc>
        <w:tc>
          <w:tcPr>
            <w:tcW w:w="959"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16</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0,21</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0,23</w:t>
            </w:r>
          </w:p>
        </w:tc>
      </w:tr>
      <w:tr w:rsidR="007D55DC" w:rsidRPr="007D55DC" w:rsidTr="009F263B">
        <w:trPr>
          <w:cnfStyle w:val="000000100000"/>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5</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Wymiana kotłów węglowych na kotły na biomasę zasilane automatycznie</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0,01</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0,01</w:t>
            </w:r>
          </w:p>
        </w:tc>
      </w:tr>
      <w:tr w:rsidR="007D55DC" w:rsidRPr="007D55DC" w:rsidTr="009F263B">
        <w:trPr>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6</w:t>
            </w:r>
          </w:p>
        </w:tc>
        <w:tc>
          <w:tcPr>
            <w:tcW w:w="1198"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Wymiana kotłów węglowych na kotły na pel</w:t>
            </w:r>
            <w:r>
              <w:rPr>
                <w:rFonts w:eastAsia="Times New Roman" w:cs="Times New Roman"/>
                <w:color w:val="000000"/>
              </w:rPr>
              <w:t>l</w:t>
            </w:r>
            <w:r w:rsidRPr="007D55DC">
              <w:rPr>
                <w:rFonts w:eastAsia="Times New Roman" w:cs="Times New Roman"/>
                <w:color w:val="000000"/>
              </w:rPr>
              <w:t>ety zasilane automatycznie</w:t>
            </w:r>
          </w:p>
        </w:tc>
        <w:tc>
          <w:tcPr>
            <w:tcW w:w="959"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18</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0,48</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0,47</w:t>
            </w:r>
          </w:p>
        </w:tc>
      </w:tr>
      <w:tr w:rsidR="007D55DC" w:rsidRPr="007D55DC" w:rsidTr="009F263B">
        <w:trPr>
          <w:cnfStyle w:val="000000100000"/>
          <w:trHeight w:val="29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7</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Wymiana ogrzewania węglowego na gazowe</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1037</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34,25</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33,73</w:t>
            </w:r>
          </w:p>
        </w:tc>
      </w:tr>
      <w:tr w:rsidR="007D55DC" w:rsidRPr="007D55DC" w:rsidTr="009F263B">
        <w:trPr>
          <w:trHeight w:val="29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8</w:t>
            </w:r>
          </w:p>
        </w:tc>
        <w:tc>
          <w:tcPr>
            <w:tcW w:w="1198"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Wymiana ogrzewania węglowego na olejowe</w:t>
            </w:r>
          </w:p>
        </w:tc>
        <w:tc>
          <w:tcPr>
            <w:tcW w:w="959"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12</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0,39</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0,39</w:t>
            </w:r>
          </w:p>
        </w:tc>
      </w:tr>
      <w:tr w:rsidR="007D55DC" w:rsidRPr="007D55DC" w:rsidTr="009F263B">
        <w:trPr>
          <w:cnfStyle w:val="000000100000"/>
          <w:trHeight w:val="58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9</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Wymiana ogrzewania węglowego na pompę ciepła</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31</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1,03</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1,01</w:t>
            </w:r>
          </w:p>
        </w:tc>
      </w:tr>
      <w:tr w:rsidR="007D55DC" w:rsidRPr="007D55DC" w:rsidTr="009F263B">
        <w:trPr>
          <w:trHeight w:val="29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10</w:t>
            </w:r>
          </w:p>
        </w:tc>
        <w:tc>
          <w:tcPr>
            <w:tcW w:w="1198"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Zastosowanie kolektorów słonecznych</w:t>
            </w:r>
          </w:p>
        </w:tc>
        <w:tc>
          <w:tcPr>
            <w:tcW w:w="959"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36</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0,09</w:t>
            </w:r>
          </w:p>
        </w:tc>
        <w:tc>
          <w:tcPr>
            <w:tcW w:w="851" w:type="pct"/>
            <w:hideMark/>
          </w:tcPr>
          <w:p w:rsidR="007D55DC" w:rsidRPr="007D55DC" w:rsidRDefault="007D55DC" w:rsidP="007D55DC">
            <w:pPr>
              <w:spacing w:line="240" w:lineRule="auto"/>
              <w:jc w:val="center"/>
              <w:cnfStyle w:val="000000000000"/>
              <w:rPr>
                <w:rFonts w:eastAsia="Times New Roman" w:cs="Times New Roman"/>
                <w:color w:val="000000"/>
              </w:rPr>
            </w:pPr>
            <w:r w:rsidRPr="007D55DC">
              <w:rPr>
                <w:rFonts w:eastAsia="Times New Roman" w:cs="Times New Roman"/>
                <w:color w:val="000000"/>
              </w:rPr>
              <w:t>0,09</w:t>
            </w:r>
          </w:p>
        </w:tc>
      </w:tr>
      <w:tr w:rsidR="007D55DC" w:rsidRPr="007D55DC" w:rsidTr="009F263B">
        <w:trPr>
          <w:cnfStyle w:val="000000100000"/>
          <w:trHeight w:val="290"/>
        </w:trPr>
        <w:tc>
          <w:tcPr>
            <w:cnfStyle w:val="001000000000"/>
            <w:tcW w:w="289" w:type="pct"/>
            <w:tcBorders>
              <w:left w:val="none" w:sz="0" w:space="0" w:color="auto"/>
            </w:tcBorders>
            <w:noWrap/>
            <w:hideMark/>
          </w:tcPr>
          <w:p w:rsidR="007D55DC" w:rsidRPr="007D55DC" w:rsidRDefault="007D55DC" w:rsidP="007D55DC">
            <w:pPr>
              <w:spacing w:line="240" w:lineRule="auto"/>
              <w:jc w:val="center"/>
              <w:rPr>
                <w:rFonts w:eastAsia="Times New Roman" w:cs="Times New Roman"/>
                <w:color w:val="000000"/>
              </w:rPr>
            </w:pPr>
            <w:r w:rsidRPr="007D55DC">
              <w:rPr>
                <w:rFonts w:eastAsia="Times New Roman" w:cs="Times New Roman"/>
                <w:color w:val="000000"/>
              </w:rPr>
              <w:t>11</w:t>
            </w:r>
          </w:p>
        </w:tc>
        <w:tc>
          <w:tcPr>
            <w:tcW w:w="1198"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Termomodernizacja</w:t>
            </w:r>
          </w:p>
        </w:tc>
        <w:tc>
          <w:tcPr>
            <w:tcW w:w="959"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70,00</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47</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0,47</w:t>
            </w:r>
          </w:p>
        </w:tc>
        <w:tc>
          <w:tcPr>
            <w:tcW w:w="851" w:type="pct"/>
            <w:hideMark/>
          </w:tcPr>
          <w:p w:rsidR="007D55DC" w:rsidRPr="007D55DC" w:rsidRDefault="007D55DC" w:rsidP="007D55DC">
            <w:pPr>
              <w:spacing w:line="240" w:lineRule="auto"/>
              <w:jc w:val="center"/>
              <w:cnfStyle w:val="000000100000"/>
              <w:rPr>
                <w:rFonts w:eastAsia="Times New Roman" w:cs="Times New Roman"/>
                <w:color w:val="000000"/>
              </w:rPr>
            </w:pPr>
            <w:r w:rsidRPr="007D55DC">
              <w:rPr>
                <w:rFonts w:eastAsia="Times New Roman" w:cs="Times New Roman"/>
                <w:color w:val="000000"/>
              </w:rPr>
              <w:t>0,46</w:t>
            </w:r>
          </w:p>
        </w:tc>
      </w:tr>
      <w:tr w:rsidR="007D55DC" w:rsidRPr="007D55DC" w:rsidTr="009F263B">
        <w:trPr>
          <w:trHeight w:val="290"/>
        </w:trPr>
        <w:tc>
          <w:tcPr>
            <w:cnfStyle w:val="001000000000"/>
            <w:tcW w:w="1487" w:type="pct"/>
            <w:gridSpan w:val="2"/>
            <w:tcBorders>
              <w:left w:val="none" w:sz="0" w:space="0" w:color="auto"/>
              <w:bottom w:val="none" w:sz="0" w:space="0" w:color="auto"/>
            </w:tcBorders>
            <w:noWrap/>
            <w:hideMark/>
          </w:tcPr>
          <w:p w:rsidR="007D55DC" w:rsidRPr="007D55DC" w:rsidRDefault="007D55DC" w:rsidP="007D55DC">
            <w:pPr>
              <w:spacing w:line="240" w:lineRule="auto"/>
              <w:jc w:val="center"/>
              <w:rPr>
                <w:rFonts w:eastAsia="Times New Roman" w:cs="Times New Roman"/>
                <w:b w:val="0"/>
                <w:bCs w:val="0"/>
                <w:color w:val="000000"/>
              </w:rPr>
            </w:pPr>
            <w:r w:rsidRPr="007D55DC">
              <w:rPr>
                <w:rFonts w:eastAsia="Times New Roman" w:cs="Times New Roman"/>
                <w:b w:val="0"/>
                <w:bCs w:val="0"/>
                <w:color w:val="000000"/>
              </w:rPr>
              <w:t>SUMA</w:t>
            </w:r>
          </w:p>
        </w:tc>
        <w:tc>
          <w:tcPr>
            <w:tcW w:w="959" w:type="pct"/>
            <w:hideMark/>
          </w:tcPr>
          <w:p w:rsidR="007D55DC" w:rsidRPr="007D55DC" w:rsidRDefault="007D55DC" w:rsidP="007D55DC">
            <w:pPr>
              <w:spacing w:line="240" w:lineRule="auto"/>
              <w:jc w:val="center"/>
              <w:cnfStyle w:val="000000000000"/>
              <w:rPr>
                <w:rFonts w:eastAsia="Times New Roman" w:cs="Times New Roman"/>
                <w:b/>
                <w:bCs/>
                <w:color w:val="000000"/>
              </w:rPr>
            </w:pPr>
            <w:r w:rsidRPr="007D55DC">
              <w:rPr>
                <w:rFonts w:eastAsia="Times New Roman" w:cs="Times New Roman"/>
                <w:b/>
                <w:bCs/>
                <w:color w:val="000000"/>
              </w:rPr>
              <w:t> </w:t>
            </w:r>
          </w:p>
        </w:tc>
        <w:tc>
          <w:tcPr>
            <w:tcW w:w="851" w:type="pct"/>
            <w:hideMark/>
          </w:tcPr>
          <w:p w:rsidR="007D55DC" w:rsidRPr="007D55DC" w:rsidRDefault="007D55DC" w:rsidP="007D55DC">
            <w:pPr>
              <w:spacing w:line="240" w:lineRule="auto"/>
              <w:jc w:val="center"/>
              <w:cnfStyle w:val="000000000000"/>
              <w:rPr>
                <w:rFonts w:eastAsia="Times New Roman" w:cs="Times New Roman"/>
                <w:b/>
                <w:bCs/>
                <w:color w:val="000000"/>
              </w:rPr>
            </w:pPr>
            <w:r w:rsidRPr="007D55DC">
              <w:rPr>
                <w:rFonts w:eastAsia="Times New Roman" w:cs="Times New Roman"/>
                <w:b/>
                <w:bCs/>
                <w:color w:val="000000"/>
              </w:rPr>
              <w:t>1304</w:t>
            </w:r>
          </w:p>
        </w:tc>
        <w:tc>
          <w:tcPr>
            <w:tcW w:w="851" w:type="pct"/>
            <w:hideMark/>
          </w:tcPr>
          <w:p w:rsidR="007D55DC" w:rsidRPr="007D55DC" w:rsidRDefault="007D55DC" w:rsidP="007D55DC">
            <w:pPr>
              <w:spacing w:line="240" w:lineRule="auto"/>
              <w:jc w:val="center"/>
              <w:cnfStyle w:val="000000000000"/>
              <w:rPr>
                <w:rFonts w:eastAsia="Times New Roman" w:cs="Times New Roman"/>
                <w:b/>
                <w:bCs/>
                <w:color w:val="000000"/>
              </w:rPr>
            </w:pPr>
            <w:r w:rsidRPr="007D55DC">
              <w:rPr>
                <w:rFonts w:eastAsia="Times New Roman" w:cs="Times New Roman"/>
                <w:b/>
                <w:bCs/>
                <w:color w:val="000000"/>
              </w:rPr>
              <w:t>40,25</w:t>
            </w:r>
          </w:p>
        </w:tc>
        <w:tc>
          <w:tcPr>
            <w:tcW w:w="851" w:type="pct"/>
            <w:hideMark/>
          </w:tcPr>
          <w:p w:rsidR="007D55DC" w:rsidRPr="007D55DC" w:rsidRDefault="007D55DC" w:rsidP="007D55DC">
            <w:pPr>
              <w:spacing w:line="240" w:lineRule="auto"/>
              <w:jc w:val="center"/>
              <w:cnfStyle w:val="000000000000"/>
              <w:rPr>
                <w:rFonts w:eastAsia="Times New Roman" w:cs="Times New Roman"/>
                <w:b/>
                <w:bCs/>
                <w:color w:val="000000"/>
              </w:rPr>
            </w:pPr>
            <w:r w:rsidRPr="007D55DC">
              <w:rPr>
                <w:rFonts w:eastAsia="Times New Roman" w:cs="Times New Roman"/>
                <w:b/>
                <w:bCs/>
                <w:color w:val="000000"/>
              </w:rPr>
              <w:t>39,67</w:t>
            </w:r>
          </w:p>
        </w:tc>
      </w:tr>
    </w:tbl>
    <w:p w:rsidR="00B0223A" w:rsidRDefault="00B0223A" w:rsidP="00B0223A"/>
    <w:p w:rsidR="00F95C1B" w:rsidRDefault="007D55DC" w:rsidP="00F95C1B">
      <w:pPr>
        <w:keepNext/>
      </w:pPr>
      <w:r>
        <w:rPr>
          <w:noProof/>
          <w:lang w:eastAsia="pl-PL"/>
        </w:rPr>
        <w:drawing>
          <wp:inline distT="0" distB="0" distL="0" distR="0">
            <wp:extent cx="5760720" cy="3892550"/>
            <wp:effectExtent l="0" t="0" r="11430" b="12700"/>
            <wp:docPr id="29" name="Wykres 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30716C-ACDF-406B-9CE5-26396CA40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223A" w:rsidRDefault="00F95C1B" w:rsidP="00F95C1B">
      <w:pPr>
        <w:pStyle w:val="Legenda"/>
      </w:pPr>
      <w:bookmarkStart w:id="208" w:name="_Toc535786976"/>
      <w:r>
        <w:t xml:space="preserve">Wykres </w:t>
      </w:r>
      <w:r w:rsidR="00135E52">
        <w:rPr>
          <w:noProof/>
        </w:rPr>
        <w:fldChar w:fldCharType="begin"/>
      </w:r>
      <w:r w:rsidR="00CE339D">
        <w:rPr>
          <w:noProof/>
        </w:rPr>
        <w:instrText xml:space="preserve"> SEQ Wykres \* ARABIC </w:instrText>
      </w:r>
      <w:r w:rsidR="00135E52">
        <w:rPr>
          <w:noProof/>
        </w:rPr>
        <w:fldChar w:fldCharType="separate"/>
      </w:r>
      <w:r w:rsidR="00AD136C">
        <w:rPr>
          <w:noProof/>
        </w:rPr>
        <w:t>10</w:t>
      </w:r>
      <w:r w:rsidR="00135E52">
        <w:rPr>
          <w:noProof/>
        </w:rPr>
        <w:fldChar w:fldCharType="end"/>
      </w:r>
      <w:r w:rsidRPr="00BD62CA">
        <w:t>Szacowana redukcja emisji pyłu zawieszonego PM10, przy podjęciu kolejnych działań modernizacyjnych.</w:t>
      </w:r>
      <w:bookmarkEnd w:id="208"/>
    </w:p>
    <w:p w:rsidR="00F95C1B" w:rsidRPr="00680E15" w:rsidRDefault="00F95C1B" w:rsidP="00F95C1B">
      <w:pPr>
        <w:spacing w:after="240"/>
        <w:jc w:val="right"/>
        <w:rPr>
          <w:rFonts w:cstheme="majorHAnsi"/>
          <w:i/>
          <w:sz w:val="18"/>
          <w:szCs w:val="18"/>
        </w:rPr>
      </w:pPr>
      <w:r w:rsidRPr="004B648C">
        <w:rPr>
          <w:rFonts w:cstheme="majorHAnsi"/>
          <w:i/>
          <w:sz w:val="18"/>
          <w:szCs w:val="18"/>
        </w:rPr>
        <w:t>Źródło: opracowanie Grupa CDE Sp. z o.o.</w:t>
      </w:r>
    </w:p>
    <w:p w:rsidR="00F95C1B" w:rsidRDefault="00F95C1B" w:rsidP="00F95C1B">
      <w:r>
        <w:t xml:space="preserve">W </w:t>
      </w:r>
      <w:r w:rsidRPr="007D55DC">
        <w:t xml:space="preserve">założonym opracowaniu największą redukcję pyłu zawieszonego PM10 spowoduje wymiana kotłów węglowych na gazowe </w:t>
      </w:r>
      <w:r w:rsidR="007D55DC" w:rsidRPr="007D55DC">
        <w:t xml:space="preserve">z uwagi na znaczną liczebność, jednak </w:t>
      </w:r>
      <w:r w:rsidR="007D55DC">
        <w:t>i</w:t>
      </w:r>
      <w:r>
        <w:t>nne działania również przyczynią się do ograniczenia emisji pyłów  o średnicy ziaren do 10 μm.</w:t>
      </w:r>
    </w:p>
    <w:p w:rsidR="00F95C1B" w:rsidRPr="00F95C1B" w:rsidRDefault="00F95C1B" w:rsidP="00F95C1B"/>
    <w:p w:rsidR="00F95C1B" w:rsidRDefault="007D55DC" w:rsidP="00F95C1B">
      <w:pPr>
        <w:keepNext/>
      </w:pPr>
      <w:r>
        <w:rPr>
          <w:noProof/>
          <w:lang w:eastAsia="pl-PL"/>
        </w:rPr>
        <w:lastRenderedPageBreak/>
        <w:drawing>
          <wp:inline distT="0" distB="0" distL="0" distR="0">
            <wp:extent cx="5760720" cy="3975100"/>
            <wp:effectExtent l="0" t="0" r="11430" b="6350"/>
            <wp:docPr id="30" name="Wykres 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36DC83-DD22-414B-AA15-2A0824E0D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0223A" w:rsidRDefault="00F95C1B" w:rsidP="00F95C1B">
      <w:pPr>
        <w:pStyle w:val="Legenda"/>
      </w:pPr>
      <w:bookmarkStart w:id="209" w:name="_Toc535786977"/>
      <w:r>
        <w:t xml:space="preserve">Wykres </w:t>
      </w:r>
      <w:r w:rsidR="00135E52">
        <w:rPr>
          <w:noProof/>
        </w:rPr>
        <w:fldChar w:fldCharType="begin"/>
      </w:r>
      <w:r w:rsidR="00CE339D">
        <w:rPr>
          <w:noProof/>
        </w:rPr>
        <w:instrText xml:space="preserve"> SEQ Wykres \* ARABIC </w:instrText>
      </w:r>
      <w:r w:rsidR="00135E52">
        <w:rPr>
          <w:noProof/>
        </w:rPr>
        <w:fldChar w:fldCharType="separate"/>
      </w:r>
      <w:r w:rsidR="00AD136C">
        <w:rPr>
          <w:noProof/>
        </w:rPr>
        <w:t>11</w:t>
      </w:r>
      <w:r w:rsidR="00135E52">
        <w:rPr>
          <w:noProof/>
        </w:rPr>
        <w:fldChar w:fldCharType="end"/>
      </w:r>
      <w:r w:rsidRPr="00B572AC">
        <w:t>Szacowana redukcja emisji pyłu zawieszonego PM2.5, przy podjęciu działań modernizacyjnych.</w:t>
      </w:r>
      <w:bookmarkEnd w:id="209"/>
    </w:p>
    <w:p w:rsidR="007D55DC" w:rsidRDefault="007D55DC" w:rsidP="007D55DC">
      <w:r>
        <w:t>Podobnie jak w przypadku większych pyłów, wymiana kotłów węglowych na gazowe, spowoduje znaczącą redukcję pyłu zawieszonego PM2.5. Emisji pyłów o średnicy ziaren do 2.5 μm, zmniejszą także inne planowane działania.</w:t>
      </w:r>
    </w:p>
    <w:p w:rsidR="007D55DC" w:rsidRDefault="004A1341" w:rsidP="00561560">
      <w:pPr>
        <w:pStyle w:val="Styl3"/>
      </w:pPr>
      <w:bookmarkStart w:id="210" w:name="_Toc531952904"/>
      <w:bookmarkStart w:id="211" w:name="_Toc535233353"/>
      <w:r>
        <w:t>6.6.</w:t>
      </w:r>
      <w:r w:rsidR="007D55DC">
        <w:t xml:space="preserve">2 </w:t>
      </w:r>
      <w:r w:rsidR="007D55DC" w:rsidRPr="00561560">
        <w:rPr>
          <w:rStyle w:val="Styl3Znak"/>
        </w:rPr>
        <w:t>Efekt energetyczny</w:t>
      </w:r>
      <w:bookmarkEnd w:id="210"/>
      <w:bookmarkEnd w:id="211"/>
    </w:p>
    <w:p w:rsidR="007D55DC" w:rsidRDefault="007D55DC" w:rsidP="007D55DC">
      <w:r>
        <w:t xml:space="preserve">Efekt energetyczny jest różnicą sumy zapotrzebowania na energię brutto w stanie istniejącym oraz </w:t>
      </w:r>
      <w:r>
        <w:br/>
        <w:t>w stanie docelowym. Iloczyn tej wartości i liczby budynków określa sumaryczną oszczędność energii cieplnej do ogrzewania i przygotowania ciepłej wody użytkowej oraz energii elektrycznej w budynkach jednorodzinnych.</w:t>
      </w:r>
    </w:p>
    <w:p w:rsidR="009F263B" w:rsidRDefault="009F263B" w:rsidP="007D55DC"/>
    <w:p w:rsidR="009F263B" w:rsidRDefault="009F263B" w:rsidP="007D55DC">
      <w:pPr>
        <w:sectPr w:rsidR="009F263B" w:rsidSect="007D55DC">
          <w:headerReference w:type="default" r:id="rId35"/>
          <w:footerReference w:type="default" r:id="rId36"/>
          <w:footerReference w:type="first" r:id="rId37"/>
          <w:pgSz w:w="11906" w:h="16838"/>
          <w:pgMar w:top="1417" w:right="1417" w:bottom="1417" w:left="1417" w:header="454" w:footer="708" w:gutter="0"/>
          <w:pgBorders w:display="firstPage" w:offsetFrom="page">
            <w:top w:val="single" w:sz="12" w:space="24" w:color="318B70" w:themeColor="accent4" w:themeShade="BF"/>
            <w:left w:val="single" w:sz="12" w:space="24" w:color="318B70" w:themeColor="accent4" w:themeShade="BF"/>
            <w:bottom w:val="single" w:sz="12" w:space="24" w:color="318B70" w:themeColor="accent4" w:themeShade="BF"/>
            <w:right w:val="single" w:sz="12" w:space="24" w:color="318B70" w:themeColor="accent4" w:themeShade="BF"/>
          </w:pgBorders>
          <w:cols w:space="708"/>
          <w:titlePg/>
          <w:docGrid w:linePitch="360"/>
        </w:sectPr>
      </w:pPr>
    </w:p>
    <w:p w:rsidR="00F95C1B" w:rsidRDefault="00F95C1B" w:rsidP="00F95C1B">
      <w:pPr>
        <w:pStyle w:val="Legenda"/>
        <w:keepNext/>
      </w:pPr>
      <w:bookmarkStart w:id="212" w:name="_Toc535583570"/>
      <w:r>
        <w:lastRenderedPageBreak/>
        <w:t xml:space="preserve">Tabela </w:t>
      </w:r>
      <w:r w:rsidR="00135E52">
        <w:rPr>
          <w:noProof/>
        </w:rPr>
        <w:fldChar w:fldCharType="begin"/>
      </w:r>
      <w:r w:rsidR="00CE339D">
        <w:rPr>
          <w:noProof/>
        </w:rPr>
        <w:instrText xml:space="preserve"> SEQ Tabela \* ARABIC </w:instrText>
      </w:r>
      <w:r w:rsidR="00135E52">
        <w:rPr>
          <w:noProof/>
        </w:rPr>
        <w:fldChar w:fldCharType="separate"/>
      </w:r>
      <w:r w:rsidR="00AD136C">
        <w:rPr>
          <w:noProof/>
        </w:rPr>
        <w:t>11</w:t>
      </w:r>
      <w:r w:rsidR="00135E52">
        <w:rPr>
          <w:noProof/>
        </w:rPr>
        <w:fldChar w:fldCharType="end"/>
      </w:r>
      <w:r w:rsidRPr="00EA0042">
        <w:t>Efekt energetyczny PONE</w:t>
      </w:r>
      <w:r w:rsidR="00C87C82">
        <w:t>.</w:t>
      </w:r>
      <w:bookmarkEnd w:id="212"/>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
        <w:gridCol w:w="1540"/>
        <w:gridCol w:w="1110"/>
        <w:gridCol w:w="1065"/>
        <w:gridCol w:w="1367"/>
        <w:gridCol w:w="1367"/>
        <w:gridCol w:w="1351"/>
        <w:gridCol w:w="1078"/>
      </w:tblGrid>
      <w:tr w:rsidR="007D55DC" w:rsidRPr="00566DB4" w:rsidTr="001E5C9E">
        <w:trPr>
          <w:cnfStyle w:val="100000000000"/>
          <w:trHeight w:val="1450"/>
        </w:trPr>
        <w:tc>
          <w:tcPr>
            <w:cnfStyle w:val="001000000000"/>
            <w:tcW w:w="223" w:type="pct"/>
            <w:tcBorders>
              <w:top w:val="none" w:sz="0" w:space="0" w:color="auto"/>
              <w:left w:val="none" w:sz="0" w:space="0" w:color="auto"/>
              <w:right w:val="none" w:sz="0" w:space="0" w:color="auto"/>
            </w:tcBorders>
            <w:noWrap/>
            <w:vAlign w:val="center"/>
            <w:hideMark/>
          </w:tcPr>
          <w:p w:rsidR="007D55DC" w:rsidRPr="00566DB4" w:rsidRDefault="007D55DC" w:rsidP="009F263B">
            <w:pPr>
              <w:spacing w:line="240" w:lineRule="auto"/>
              <w:jc w:val="center"/>
              <w:rPr>
                <w:rFonts w:eastAsia="Times New Roman" w:cs="Times New Roman"/>
                <w:b w:val="0"/>
                <w:bCs w:val="0"/>
                <w:color w:val="000000"/>
                <w:sz w:val="20"/>
                <w:szCs w:val="20"/>
              </w:rPr>
            </w:pPr>
            <w:r w:rsidRPr="00566DB4">
              <w:rPr>
                <w:rFonts w:eastAsia="Times New Roman" w:cs="Times New Roman"/>
                <w:b w:val="0"/>
                <w:bCs w:val="0"/>
                <w:color w:val="000000"/>
                <w:sz w:val="20"/>
                <w:szCs w:val="20"/>
              </w:rPr>
              <w:t>Lp.</w:t>
            </w:r>
          </w:p>
        </w:tc>
        <w:tc>
          <w:tcPr>
            <w:tcW w:w="828"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Działanie</w:t>
            </w:r>
          </w:p>
        </w:tc>
        <w:tc>
          <w:tcPr>
            <w:tcW w:w="598"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Średnia powierzchnia budynku mieszkalnego</w:t>
            </w:r>
          </w:p>
        </w:tc>
        <w:tc>
          <w:tcPr>
            <w:tcW w:w="460"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Liczba modernizacji</w:t>
            </w:r>
          </w:p>
        </w:tc>
        <w:tc>
          <w:tcPr>
            <w:tcW w:w="849"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Zapotrzebowanie na energię cieplną [kWh/m2/rok]</w:t>
            </w:r>
          </w:p>
        </w:tc>
        <w:tc>
          <w:tcPr>
            <w:tcW w:w="735"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Zapotrzebowanie na energię cieplną budynków objętych PONE [MWh/rok]</w:t>
            </w:r>
          </w:p>
        </w:tc>
        <w:tc>
          <w:tcPr>
            <w:tcW w:w="727"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Założenie minimalnego ograniczenia zapotrzebowania na energię cieplną wskutek modernizacji [%]</w:t>
            </w:r>
          </w:p>
        </w:tc>
        <w:tc>
          <w:tcPr>
            <w:tcW w:w="580" w:type="pct"/>
            <w:tcBorders>
              <w:top w:val="none" w:sz="0" w:space="0" w:color="auto"/>
              <w:left w:val="none" w:sz="0" w:space="0" w:color="auto"/>
              <w:right w:val="none" w:sz="0" w:space="0" w:color="auto"/>
            </w:tcBorders>
            <w:vAlign w:val="center"/>
            <w:hideMark/>
          </w:tcPr>
          <w:p w:rsidR="007D55DC" w:rsidRPr="00566DB4" w:rsidRDefault="007D55DC" w:rsidP="009F263B">
            <w:pPr>
              <w:spacing w:line="240" w:lineRule="auto"/>
              <w:jc w:val="center"/>
              <w:cnfStyle w:val="100000000000"/>
              <w:rPr>
                <w:rFonts w:eastAsia="Times New Roman" w:cs="Times New Roman"/>
                <w:b w:val="0"/>
                <w:bCs w:val="0"/>
                <w:color w:val="000000"/>
                <w:sz w:val="20"/>
                <w:szCs w:val="20"/>
              </w:rPr>
            </w:pPr>
            <w:r w:rsidRPr="00566DB4">
              <w:rPr>
                <w:rFonts w:eastAsia="Times New Roman" w:cs="Times New Roman"/>
                <w:b w:val="0"/>
                <w:bCs w:val="0"/>
                <w:color w:val="000000"/>
                <w:sz w:val="20"/>
                <w:szCs w:val="20"/>
              </w:rPr>
              <w:t>Ograniczenie zużycia energii cieplnej wskutek realizacji PONE [MWh/rok]</w:t>
            </w:r>
          </w:p>
        </w:tc>
      </w:tr>
      <w:tr w:rsidR="007D55DC" w:rsidRPr="00566DB4" w:rsidTr="001E5C9E">
        <w:trPr>
          <w:cnfStyle w:val="000000100000"/>
          <w:trHeight w:val="29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1</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Podłączenie lokalu do sieci cieplnej</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40</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336,00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50,40</w:t>
            </w:r>
          </w:p>
        </w:tc>
      </w:tr>
      <w:tr w:rsidR="007D55DC" w:rsidRPr="00566DB4" w:rsidTr="001E5C9E">
        <w:trPr>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2</w:t>
            </w:r>
          </w:p>
        </w:tc>
        <w:tc>
          <w:tcPr>
            <w:tcW w:w="82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Wymiana ogrzewania węglowego na elektryczne</w:t>
            </w:r>
          </w:p>
        </w:tc>
        <w:tc>
          <w:tcPr>
            <w:tcW w:w="59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60</w:t>
            </w:r>
          </w:p>
        </w:tc>
        <w:tc>
          <w:tcPr>
            <w:tcW w:w="849"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504,00</w:t>
            </w:r>
          </w:p>
        </w:tc>
        <w:tc>
          <w:tcPr>
            <w:tcW w:w="727"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20%</w:t>
            </w:r>
          </w:p>
        </w:tc>
        <w:tc>
          <w:tcPr>
            <w:tcW w:w="580"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100,80</w:t>
            </w:r>
          </w:p>
        </w:tc>
      </w:tr>
      <w:tr w:rsidR="007D55DC" w:rsidRPr="00566DB4" w:rsidTr="001E5C9E">
        <w:trPr>
          <w:cnfStyle w:val="000000100000"/>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3</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Wymiana starych kotłów węglowych na nowe zasilane ręcznie</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6</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50,40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7,56</w:t>
            </w:r>
          </w:p>
        </w:tc>
      </w:tr>
      <w:tr w:rsidR="007D55DC" w:rsidRPr="00566DB4" w:rsidTr="001E5C9E">
        <w:trPr>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4</w:t>
            </w:r>
          </w:p>
        </w:tc>
        <w:tc>
          <w:tcPr>
            <w:tcW w:w="82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Wymiana starych kotłów węglowych na nowe zasilane automatycznie</w:t>
            </w:r>
          </w:p>
        </w:tc>
        <w:tc>
          <w:tcPr>
            <w:tcW w:w="59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16</w:t>
            </w:r>
          </w:p>
        </w:tc>
        <w:tc>
          <w:tcPr>
            <w:tcW w:w="849"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134,40</w:t>
            </w:r>
          </w:p>
        </w:tc>
        <w:tc>
          <w:tcPr>
            <w:tcW w:w="727"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20,16</w:t>
            </w:r>
          </w:p>
        </w:tc>
      </w:tr>
      <w:tr w:rsidR="007D55DC" w:rsidRPr="00566DB4" w:rsidTr="001E5C9E">
        <w:trPr>
          <w:cnfStyle w:val="000000100000"/>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5</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Wymiana kotłów węglowych na kotły na biomasę zasilane automatycznie</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8,40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1,26</w:t>
            </w:r>
          </w:p>
        </w:tc>
      </w:tr>
      <w:tr w:rsidR="007D55DC" w:rsidRPr="00566DB4" w:rsidTr="001E5C9E">
        <w:trPr>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6</w:t>
            </w:r>
          </w:p>
        </w:tc>
        <w:tc>
          <w:tcPr>
            <w:tcW w:w="82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Wymiana kotłów węglowych na kotły na pelety zasilane automatycznie</w:t>
            </w:r>
          </w:p>
        </w:tc>
        <w:tc>
          <w:tcPr>
            <w:tcW w:w="59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18</w:t>
            </w:r>
          </w:p>
        </w:tc>
        <w:tc>
          <w:tcPr>
            <w:tcW w:w="849"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151,20</w:t>
            </w:r>
          </w:p>
        </w:tc>
        <w:tc>
          <w:tcPr>
            <w:tcW w:w="727"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22,68</w:t>
            </w:r>
          </w:p>
        </w:tc>
      </w:tr>
      <w:tr w:rsidR="007D55DC" w:rsidRPr="00566DB4" w:rsidTr="001E5C9E">
        <w:trPr>
          <w:cnfStyle w:val="000000100000"/>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7</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Wymiana ogrzewania węglowego na gazowe</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1037</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8710,80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1306,62</w:t>
            </w:r>
          </w:p>
        </w:tc>
      </w:tr>
      <w:tr w:rsidR="007D55DC" w:rsidRPr="00566DB4" w:rsidTr="001E5C9E">
        <w:trPr>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8</w:t>
            </w:r>
          </w:p>
        </w:tc>
        <w:tc>
          <w:tcPr>
            <w:tcW w:w="82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Wymiana ogrzewania węglowego na olejowe</w:t>
            </w:r>
          </w:p>
        </w:tc>
        <w:tc>
          <w:tcPr>
            <w:tcW w:w="59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w:t>
            </w:r>
          </w:p>
        </w:tc>
        <w:tc>
          <w:tcPr>
            <w:tcW w:w="849"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100,80</w:t>
            </w:r>
          </w:p>
        </w:tc>
        <w:tc>
          <w:tcPr>
            <w:tcW w:w="727"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15,12</w:t>
            </w:r>
          </w:p>
        </w:tc>
      </w:tr>
      <w:tr w:rsidR="007D55DC" w:rsidRPr="00566DB4" w:rsidTr="001E5C9E">
        <w:trPr>
          <w:cnfStyle w:val="000000100000"/>
          <w:trHeight w:val="58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9</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Wymiana ogrzewania węglowego na pompę ciepła</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31</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260,40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40%</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104,16</w:t>
            </w:r>
          </w:p>
        </w:tc>
      </w:tr>
      <w:tr w:rsidR="007D55DC" w:rsidRPr="00566DB4" w:rsidTr="001E5C9E">
        <w:trPr>
          <w:trHeight w:val="29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t>10</w:t>
            </w:r>
          </w:p>
        </w:tc>
        <w:tc>
          <w:tcPr>
            <w:tcW w:w="82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 xml:space="preserve">Zastosowanie kolektorów </w:t>
            </w:r>
            <w:r w:rsidRPr="00566DB4">
              <w:rPr>
                <w:rFonts w:eastAsia="Times New Roman" w:cs="Times New Roman"/>
                <w:color w:val="000000"/>
                <w:sz w:val="20"/>
                <w:szCs w:val="20"/>
              </w:rPr>
              <w:lastRenderedPageBreak/>
              <w:t>słonecznych</w:t>
            </w:r>
          </w:p>
        </w:tc>
        <w:tc>
          <w:tcPr>
            <w:tcW w:w="598"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lastRenderedPageBreak/>
              <w:t>70,00</w:t>
            </w:r>
          </w:p>
        </w:tc>
        <w:tc>
          <w:tcPr>
            <w:tcW w:w="460" w:type="pct"/>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36</w:t>
            </w:r>
          </w:p>
        </w:tc>
        <w:tc>
          <w:tcPr>
            <w:tcW w:w="849"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302,40</w:t>
            </w:r>
          </w:p>
        </w:tc>
        <w:tc>
          <w:tcPr>
            <w:tcW w:w="727"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15%</w:t>
            </w:r>
          </w:p>
        </w:tc>
        <w:tc>
          <w:tcPr>
            <w:tcW w:w="580" w:type="pct"/>
            <w:noWrap/>
            <w:vAlign w:val="center"/>
            <w:hideMark/>
          </w:tcPr>
          <w:p w:rsidR="007D55DC" w:rsidRPr="00566DB4" w:rsidRDefault="007D55DC" w:rsidP="009F263B">
            <w:pPr>
              <w:spacing w:line="240" w:lineRule="auto"/>
              <w:jc w:val="center"/>
              <w:cnfStyle w:val="000000000000"/>
              <w:rPr>
                <w:rFonts w:eastAsia="Times New Roman" w:cs="Times New Roman"/>
                <w:color w:val="000000"/>
                <w:sz w:val="20"/>
                <w:szCs w:val="20"/>
              </w:rPr>
            </w:pPr>
            <w:r w:rsidRPr="00566DB4">
              <w:rPr>
                <w:rFonts w:eastAsia="Times New Roman" w:cs="Times New Roman"/>
                <w:color w:val="000000"/>
                <w:sz w:val="20"/>
                <w:szCs w:val="20"/>
              </w:rPr>
              <w:t>45,36</w:t>
            </w:r>
          </w:p>
        </w:tc>
      </w:tr>
      <w:tr w:rsidR="007D55DC" w:rsidRPr="00566DB4" w:rsidTr="001E5C9E">
        <w:trPr>
          <w:cnfStyle w:val="000000100000"/>
          <w:trHeight w:val="290"/>
        </w:trPr>
        <w:tc>
          <w:tcPr>
            <w:cnfStyle w:val="001000000000"/>
            <w:tcW w:w="223" w:type="pct"/>
            <w:tcBorders>
              <w:left w:val="none" w:sz="0" w:space="0" w:color="auto"/>
            </w:tcBorders>
            <w:noWrap/>
            <w:vAlign w:val="center"/>
            <w:hideMark/>
          </w:tcPr>
          <w:p w:rsidR="007D55DC" w:rsidRPr="00566DB4" w:rsidRDefault="007D55DC" w:rsidP="009F263B">
            <w:pPr>
              <w:spacing w:line="240" w:lineRule="auto"/>
              <w:jc w:val="center"/>
              <w:rPr>
                <w:rFonts w:eastAsia="Times New Roman" w:cs="Times New Roman"/>
                <w:color w:val="000000"/>
                <w:sz w:val="20"/>
                <w:szCs w:val="20"/>
              </w:rPr>
            </w:pPr>
            <w:r w:rsidRPr="00566DB4">
              <w:rPr>
                <w:rFonts w:eastAsia="Times New Roman" w:cs="Times New Roman"/>
                <w:color w:val="000000"/>
                <w:sz w:val="20"/>
                <w:szCs w:val="20"/>
              </w:rPr>
              <w:lastRenderedPageBreak/>
              <w:t>11</w:t>
            </w:r>
          </w:p>
        </w:tc>
        <w:tc>
          <w:tcPr>
            <w:tcW w:w="82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Termomodernizacja</w:t>
            </w:r>
          </w:p>
        </w:tc>
        <w:tc>
          <w:tcPr>
            <w:tcW w:w="598"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70,00</w:t>
            </w:r>
          </w:p>
        </w:tc>
        <w:tc>
          <w:tcPr>
            <w:tcW w:w="460" w:type="pct"/>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47</w:t>
            </w:r>
          </w:p>
        </w:tc>
        <w:tc>
          <w:tcPr>
            <w:tcW w:w="849"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120</w:t>
            </w:r>
          </w:p>
        </w:tc>
        <w:tc>
          <w:tcPr>
            <w:tcW w:w="735"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394,80</w:t>
            </w:r>
          </w:p>
        </w:tc>
        <w:tc>
          <w:tcPr>
            <w:tcW w:w="727"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25%</w:t>
            </w:r>
          </w:p>
        </w:tc>
        <w:tc>
          <w:tcPr>
            <w:tcW w:w="580" w:type="pct"/>
            <w:noWrap/>
            <w:vAlign w:val="center"/>
            <w:hideMark/>
          </w:tcPr>
          <w:p w:rsidR="007D55DC" w:rsidRPr="00566DB4" w:rsidRDefault="007D55DC" w:rsidP="009F263B">
            <w:pPr>
              <w:spacing w:line="240" w:lineRule="auto"/>
              <w:jc w:val="center"/>
              <w:cnfStyle w:val="000000100000"/>
              <w:rPr>
                <w:rFonts w:eastAsia="Times New Roman" w:cs="Times New Roman"/>
                <w:color w:val="000000"/>
                <w:sz w:val="20"/>
                <w:szCs w:val="20"/>
              </w:rPr>
            </w:pPr>
            <w:r w:rsidRPr="00566DB4">
              <w:rPr>
                <w:rFonts w:eastAsia="Times New Roman" w:cs="Times New Roman"/>
                <w:color w:val="000000"/>
                <w:sz w:val="20"/>
                <w:szCs w:val="20"/>
              </w:rPr>
              <w:t>98,70</w:t>
            </w:r>
          </w:p>
        </w:tc>
      </w:tr>
      <w:tr w:rsidR="007D55DC" w:rsidRPr="00566DB4" w:rsidTr="001E5C9E">
        <w:trPr>
          <w:trHeight w:val="290"/>
        </w:trPr>
        <w:tc>
          <w:tcPr>
            <w:cnfStyle w:val="001000000000"/>
            <w:tcW w:w="1052" w:type="pct"/>
            <w:gridSpan w:val="2"/>
            <w:tcBorders>
              <w:left w:val="none" w:sz="0" w:space="0" w:color="auto"/>
              <w:bottom w:val="none" w:sz="0" w:space="0" w:color="auto"/>
            </w:tcBorders>
            <w:noWrap/>
            <w:vAlign w:val="center"/>
            <w:hideMark/>
          </w:tcPr>
          <w:p w:rsidR="007D55DC" w:rsidRPr="00566DB4" w:rsidRDefault="007D55DC" w:rsidP="009F263B">
            <w:pPr>
              <w:spacing w:line="240" w:lineRule="auto"/>
              <w:jc w:val="center"/>
              <w:rPr>
                <w:rFonts w:ascii="Calibri" w:eastAsia="Times New Roman" w:hAnsi="Calibri" w:cs="Times New Roman"/>
                <w:b w:val="0"/>
                <w:bCs w:val="0"/>
                <w:color w:val="000000"/>
                <w:sz w:val="20"/>
                <w:szCs w:val="20"/>
              </w:rPr>
            </w:pPr>
            <w:r w:rsidRPr="00566DB4">
              <w:rPr>
                <w:rFonts w:ascii="Calibri" w:eastAsia="Times New Roman" w:hAnsi="Calibri" w:cs="Times New Roman"/>
                <w:b w:val="0"/>
                <w:bCs w:val="0"/>
                <w:color w:val="000000"/>
                <w:sz w:val="20"/>
                <w:szCs w:val="20"/>
              </w:rPr>
              <w:t>SUMA</w:t>
            </w:r>
          </w:p>
        </w:tc>
        <w:tc>
          <w:tcPr>
            <w:tcW w:w="598" w:type="pct"/>
            <w:noWrap/>
            <w:vAlign w:val="center"/>
            <w:hideMark/>
          </w:tcPr>
          <w:p w:rsidR="007D55DC" w:rsidRPr="00566DB4" w:rsidRDefault="007D55DC" w:rsidP="009F263B">
            <w:pPr>
              <w:spacing w:line="240" w:lineRule="auto"/>
              <w:jc w:val="center"/>
              <w:cnfStyle w:val="000000000000"/>
              <w:rPr>
                <w:rFonts w:ascii="Calibri" w:eastAsia="Times New Roman" w:hAnsi="Calibri" w:cs="Times New Roman"/>
                <w:b/>
                <w:bCs/>
                <w:color w:val="000000"/>
                <w:sz w:val="20"/>
                <w:szCs w:val="20"/>
              </w:rPr>
            </w:pPr>
          </w:p>
        </w:tc>
        <w:tc>
          <w:tcPr>
            <w:tcW w:w="460" w:type="pct"/>
            <w:noWrap/>
            <w:vAlign w:val="center"/>
            <w:hideMark/>
          </w:tcPr>
          <w:p w:rsidR="007D55DC" w:rsidRPr="00566DB4" w:rsidRDefault="007D55DC" w:rsidP="009F263B">
            <w:pPr>
              <w:spacing w:line="240" w:lineRule="auto"/>
              <w:jc w:val="center"/>
              <w:cnfStyle w:val="000000000000"/>
              <w:rPr>
                <w:rFonts w:eastAsia="Times New Roman" w:cs="Times New Roman"/>
                <w:b/>
                <w:bCs/>
                <w:color w:val="000000"/>
                <w:sz w:val="20"/>
                <w:szCs w:val="20"/>
              </w:rPr>
            </w:pPr>
            <w:r w:rsidRPr="00566DB4">
              <w:rPr>
                <w:rFonts w:eastAsia="Times New Roman" w:cs="Times New Roman"/>
                <w:b/>
                <w:bCs/>
                <w:color w:val="000000"/>
                <w:sz w:val="20"/>
                <w:szCs w:val="20"/>
              </w:rPr>
              <w:t>1304</w:t>
            </w:r>
          </w:p>
        </w:tc>
        <w:tc>
          <w:tcPr>
            <w:tcW w:w="849" w:type="pct"/>
            <w:noWrap/>
            <w:vAlign w:val="center"/>
            <w:hideMark/>
          </w:tcPr>
          <w:p w:rsidR="007D55DC" w:rsidRPr="00566DB4" w:rsidRDefault="007D55DC" w:rsidP="009F263B">
            <w:pPr>
              <w:spacing w:line="240" w:lineRule="auto"/>
              <w:jc w:val="center"/>
              <w:cnfStyle w:val="000000000000"/>
              <w:rPr>
                <w:rFonts w:ascii="Calibri" w:eastAsia="Times New Roman" w:hAnsi="Calibri" w:cs="Times New Roman"/>
                <w:b/>
                <w:bCs/>
                <w:color w:val="000000"/>
                <w:sz w:val="20"/>
                <w:szCs w:val="20"/>
              </w:rPr>
            </w:pPr>
          </w:p>
        </w:tc>
        <w:tc>
          <w:tcPr>
            <w:tcW w:w="735" w:type="pct"/>
            <w:noWrap/>
            <w:vAlign w:val="center"/>
            <w:hideMark/>
          </w:tcPr>
          <w:p w:rsidR="007D55DC" w:rsidRPr="00566DB4" w:rsidRDefault="007D55DC" w:rsidP="009F263B">
            <w:pPr>
              <w:spacing w:line="240" w:lineRule="auto"/>
              <w:jc w:val="center"/>
              <w:cnfStyle w:val="000000000000"/>
              <w:rPr>
                <w:rFonts w:ascii="Calibri" w:eastAsia="Times New Roman" w:hAnsi="Calibri" w:cs="Times New Roman"/>
                <w:b/>
                <w:bCs/>
                <w:color w:val="000000"/>
                <w:sz w:val="20"/>
                <w:szCs w:val="20"/>
              </w:rPr>
            </w:pPr>
            <w:r w:rsidRPr="00566DB4">
              <w:rPr>
                <w:rFonts w:ascii="Calibri" w:eastAsia="Times New Roman" w:hAnsi="Calibri" w:cs="Times New Roman"/>
                <w:b/>
                <w:bCs/>
                <w:color w:val="000000"/>
                <w:sz w:val="20"/>
                <w:szCs w:val="20"/>
              </w:rPr>
              <w:t>10953,60</w:t>
            </w:r>
          </w:p>
        </w:tc>
        <w:tc>
          <w:tcPr>
            <w:tcW w:w="727" w:type="pct"/>
            <w:noWrap/>
            <w:vAlign w:val="center"/>
            <w:hideMark/>
          </w:tcPr>
          <w:p w:rsidR="007D55DC" w:rsidRPr="00566DB4" w:rsidRDefault="007D55DC" w:rsidP="009F263B">
            <w:pPr>
              <w:spacing w:line="240" w:lineRule="auto"/>
              <w:jc w:val="center"/>
              <w:cnfStyle w:val="000000000000"/>
              <w:rPr>
                <w:rFonts w:ascii="Calibri" w:eastAsia="Times New Roman" w:hAnsi="Calibri" w:cs="Times New Roman"/>
                <w:b/>
                <w:bCs/>
                <w:color w:val="000000"/>
                <w:sz w:val="20"/>
                <w:szCs w:val="20"/>
              </w:rPr>
            </w:pPr>
          </w:p>
        </w:tc>
        <w:tc>
          <w:tcPr>
            <w:tcW w:w="580" w:type="pct"/>
            <w:noWrap/>
            <w:vAlign w:val="center"/>
            <w:hideMark/>
          </w:tcPr>
          <w:p w:rsidR="007D55DC" w:rsidRPr="00566DB4" w:rsidRDefault="007D55DC" w:rsidP="009F263B">
            <w:pPr>
              <w:spacing w:line="240" w:lineRule="auto"/>
              <w:jc w:val="center"/>
              <w:cnfStyle w:val="000000000000"/>
              <w:rPr>
                <w:rFonts w:ascii="Calibri" w:eastAsia="Times New Roman" w:hAnsi="Calibri" w:cs="Times New Roman"/>
                <w:b/>
                <w:bCs/>
                <w:color w:val="000000"/>
                <w:sz w:val="20"/>
                <w:szCs w:val="20"/>
              </w:rPr>
            </w:pPr>
            <w:r w:rsidRPr="00566DB4">
              <w:rPr>
                <w:rFonts w:ascii="Calibri" w:eastAsia="Times New Roman" w:hAnsi="Calibri" w:cs="Times New Roman"/>
                <w:b/>
                <w:bCs/>
                <w:color w:val="000000"/>
                <w:sz w:val="20"/>
                <w:szCs w:val="20"/>
              </w:rPr>
              <w:t>1772,82</w:t>
            </w:r>
          </w:p>
        </w:tc>
      </w:tr>
    </w:tbl>
    <w:p w:rsidR="007D55DC" w:rsidRPr="007D55DC" w:rsidRDefault="007D55DC" w:rsidP="007D55DC"/>
    <w:p w:rsidR="00F95C1B" w:rsidRDefault="00F95C1B" w:rsidP="00B0223A"/>
    <w:p w:rsidR="00F95C1B" w:rsidRDefault="00C87C82" w:rsidP="00F95C1B">
      <w:pPr>
        <w:keepNext/>
      </w:pPr>
      <w:r>
        <w:rPr>
          <w:noProof/>
          <w:lang w:eastAsia="pl-PL"/>
        </w:rPr>
        <w:drawing>
          <wp:inline distT="0" distB="0" distL="0" distR="0">
            <wp:extent cx="5760720" cy="4146550"/>
            <wp:effectExtent l="0" t="0" r="11430" b="6350"/>
            <wp:docPr id="31" name="Wykres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C29BD3-B539-43E4-B7A9-9D467B573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5C1B" w:rsidRDefault="00F95C1B" w:rsidP="00F95C1B">
      <w:pPr>
        <w:pStyle w:val="Legenda"/>
      </w:pPr>
      <w:bookmarkStart w:id="213" w:name="_Toc535786978"/>
      <w:r>
        <w:t xml:space="preserve">Wykres </w:t>
      </w:r>
      <w:r w:rsidR="00135E52">
        <w:rPr>
          <w:noProof/>
        </w:rPr>
        <w:fldChar w:fldCharType="begin"/>
      </w:r>
      <w:r w:rsidR="00CE339D">
        <w:rPr>
          <w:noProof/>
        </w:rPr>
        <w:instrText xml:space="preserve"> SEQ Wykres \* ARABIC </w:instrText>
      </w:r>
      <w:r w:rsidR="00135E52">
        <w:rPr>
          <w:noProof/>
        </w:rPr>
        <w:fldChar w:fldCharType="separate"/>
      </w:r>
      <w:r w:rsidR="00AD136C">
        <w:rPr>
          <w:noProof/>
        </w:rPr>
        <w:t>12</w:t>
      </w:r>
      <w:r w:rsidR="00135E52">
        <w:rPr>
          <w:noProof/>
        </w:rPr>
        <w:fldChar w:fldCharType="end"/>
      </w:r>
      <w:r w:rsidRPr="00AA698E">
        <w:t>Ograniczenie  zużycia energii cieplnej wskutek realizacji PONE [MWh/rok].</w:t>
      </w:r>
      <w:bookmarkEnd w:id="213"/>
    </w:p>
    <w:p w:rsidR="00F95C1B" w:rsidRDefault="00F95C1B" w:rsidP="00F95C1B">
      <w:pPr>
        <w:pStyle w:val="Legenda"/>
        <w:jc w:val="right"/>
      </w:pPr>
      <w:r>
        <w:t>Źródło: opracowanie Grupa CDE Sp. z o.o.</w:t>
      </w:r>
    </w:p>
    <w:p w:rsidR="00F95C1B" w:rsidRDefault="00F95C1B" w:rsidP="00F95C1B">
      <w:r w:rsidRPr="00063CD8">
        <w:t>Najwię</w:t>
      </w:r>
      <w:r w:rsidRPr="00C87C82">
        <w:t xml:space="preserve">ksze ograniczenie zużycia energii cieplnej w wysokości </w:t>
      </w:r>
      <w:r w:rsidR="00C87C82" w:rsidRPr="00C87C82">
        <w:t>1306,62</w:t>
      </w:r>
      <w:r w:rsidRPr="00C87C82">
        <w:t xml:space="preserve"> MWh, wygeneruje wymiana ogrzewania węglowego na gazowe. Znaczne oszczędności energii będą także pochodzić z </w:t>
      </w:r>
      <w:r w:rsidR="00C87C82" w:rsidRPr="00C87C82">
        <w:t>termomodernizacji</w:t>
      </w:r>
      <w:r w:rsidRPr="00C87C82">
        <w:t xml:space="preserve"> (</w:t>
      </w:r>
      <w:r w:rsidR="00C87C82" w:rsidRPr="00C87C82">
        <w:t>100,80</w:t>
      </w:r>
      <w:r w:rsidRPr="00C87C82">
        <w:t xml:space="preserve"> MWh). Na skutek innych  zaplanowanych w PONE działań można będzie zmniejszyć zużycie energii cieplnej o </w:t>
      </w:r>
      <w:r w:rsidR="00C87C82" w:rsidRPr="00C87C82">
        <w:t xml:space="preserve">365,40 </w:t>
      </w:r>
      <w:r w:rsidRPr="00C87C82">
        <w:t>MWh w skali roku. Realizacja działań naprawczych 1</w:t>
      </w:r>
      <w:r w:rsidR="00C87C82" w:rsidRPr="00C87C82">
        <w:t>3</w:t>
      </w:r>
      <w:r w:rsidRPr="00C87C82">
        <w:t xml:space="preserve">04 budynków, przyczynią się do zaoszczędzenia w sumie w ciągu roku </w:t>
      </w:r>
      <w:r w:rsidR="00C87C82" w:rsidRPr="00C87C82">
        <w:t>1772,83</w:t>
      </w:r>
      <w:r w:rsidRPr="00C87C82">
        <w:t xml:space="preserve"> MWh, przy rocznym zapotrzebowaniu na energię cieplną budynków objętych PONE w</w:t>
      </w:r>
      <w:r w:rsidR="001E5C9E">
        <w:t> </w:t>
      </w:r>
      <w:r w:rsidRPr="00C87C82">
        <w:t xml:space="preserve">ilości </w:t>
      </w:r>
      <w:r w:rsidR="00C87C82" w:rsidRPr="00C87C82">
        <w:t xml:space="preserve">10953,60 </w:t>
      </w:r>
      <w:r w:rsidRPr="00C87C82">
        <w:t>MWh.</w:t>
      </w:r>
    </w:p>
    <w:p w:rsidR="00F95C1B" w:rsidRPr="00F95C1B" w:rsidRDefault="00F95C1B" w:rsidP="00F95C1B"/>
    <w:p w:rsidR="00F95C1B" w:rsidRPr="00D178DA" w:rsidRDefault="00F95C1B" w:rsidP="00F95C1B">
      <w:pPr>
        <w:pStyle w:val="Styl2"/>
        <w:spacing w:line="360" w:lineRule="auto"/>
      </w:pPr>
      <w:bookmarkStart w:id="214" w:name="_Toc535233354"/>
      <w:r w:rsidRPr="00214F4F">
        <w:lastRenderedPageBreak/>
        <w:t>6.7 Inne działania wpływające na poprawę stanu powietrza atmosferycznego</w:t>
      </w:r>
      <w:bookmarkEnd w:id="214"/>
    </w:p>
    <w:p w:rsidR="00360A6F" w:rsidRDefault="00F95C1B" w:rsidP="00360A6F">
      <w:r>
        <w:t>Miasto Mławapodejmuje działania</w:t>
      </w:r>
      <w:r w:rsidRPr="00370B92">
        <w:t xml:space="preserve"> na rzecz zmniejszenia emisji zanieczyszczeń do atmosfery. Na</w:t>
      </w:r>
      <w:r>
        <w:t> </w:t>
      </w:r>
      <w:r w:rsidRPr="00370B92">
        <w:t xml:space="preserve">terenie </w:t>
      </w:r>
      <w:r>
        <w:t xml:space="preserve">miasta </w:t>
      </w:r>
      <w:r w:rsidRPr="00370B92">
        <w:t xml:space="preserve">podejmowane są liczne inwestycje mające zwiększyć komfort życia mieszkańców, przy jednoczesnym zachowaniu dbałości o środowisko naturalne. </w:t>
      </w:r>
    </w:p>
    <w:p w:rsidR="00360A6F" w:rsidRPr="00550C07" w:rsidRDefault="00550C07" w:rsidP="00360A6F">
      <w:pPr>
        <w:rPr>
          <w:b/>
        </w:rPr>
      </w:pPr>
      <w:r w:rsidRPr="00550C07">
        <w:rPr>
          <w:b/>
        </w:rPr>
        <w:t>Kampania społeczna „Nie pal śmieci”</w:t>
      </w:r>
    </w:p>
    <w:p w:rsidR="00550C07" w:rsidRDefault="00360A6F" w:rsidP="00360A6F">
      <w:r>
        <w:t>Ze względu na sygnalizowany przez mieszkańców problem spalania odpadów w przydomowych piecach, w 2014 roku mławski ratusz opracował scenariusz spotu radiowego</w:t>
      </w:r>
      <w:r w:rsidR="00D866D7">
        <w:rPr>
          <w:rStyle w:val="Odwoanieprzypisudolnego"/>
        </w:rPr>
        <w:footnoteReference w:id="8"/>
      </w:r>
      <w:r>
        <w:t xml:space="preserve">. </w:t>
      </w:r>
      <w:r w:rsidR="00D866D7">
        <w:t xml:space="preserve">Uczestnikami audycji byli </w:t>
      </w:r>
      <w:r w:rsidRPr="00D866D7">
        <w:t>ówcześni uczniowie  Szkoły Podstawowej nr 1, w czasie spotkania z burmistrzem</w:t>
      </w:r>
      <w:r w:rsidR="00550C07" w:rsidRPr="00D866D7">
        <w:t>.</w:t>
      </w:r>
      <w:r>
        <w:t>Temat został nagłośniony przez Radio 7 – partnera miasta. Kampania społeczna „Nie pal śmieci” jest wciąż kontynuowana i upowszechniana przez Miasto Mława, zyskała nowe formy oraz partnerów medialnych.Problem został zasygnalizowany także w „Biuletynie Gospodarki Odpadami”, który trafił w 2015 roku do wszystkich mieszkańców Mławy.</w:t>
      </w:r>
    </w:p>
    <w:p w:rsidR="00550C07" w:rsidRPr="0082046E" w:rsidRDefault="00550C07" w:rsidP="00360A6F">
      <w:pPr>
        <w:rPr>
          <w:b/>
        </w:rPr>
      </w:pPr>
      <w:r w:rsidRPr="0082046E">
        <w:rPr>
          <w:b/>
        </w:rPr>
        <w:t>Mławska Komunikacja Miejska</w:t>
      </w:r>
    </w:p>
    <w:p w:rsidR="0082046E" w:rsidRDefault="00550C07" w:rsidP="0082046E">
      <w:r>
        <w:t>Od października 2014 roku na terenie Miasta działa Mławska Komunikacja Miejska</w:t>
      </w:r>
      <w:r w:rsidR="0082046E">
        <w:t>, która</w:t>
      </w:r>
      <w:r>
        <w:t xml:space="preserve"> cieszy się olbrzymim zainteresowaniem i sympatią mieszkańców. Autobusy poruszają się po trasach, obsł</w:t>
      </w:r>
      <w:r w:rsidR="005E405A">
        <w:t>ugiwanych przez</w:t>
      </w:r>
      <w:r w:rsidR="007F5DEE">
        <w:t xml:space="preserve"> obecnie</w:t>
      </w:r>
      <w:r w:rsidR="005E405A">
        <w:t xml:space="preserve"> cztery linie. </w:t>
      </w:r>
      <w:r>
        <w:t>Rocznie z przejazdów MKM korzysta 400 000 pasażerów.</w:t>
      </w:r>
      <w:r w:rsidR="0082046E">
        <w:t xml:space="preserve"> Działania takie wpływają na ograniczenie emisji liniowej. Istotnym elementem jesttakże uruchamianie bezpłatnych przejazdów dla mieszkańców Mławy. Przewóz dokonywany jest autobusami </w:t>
      </w:r>
      <w:r w:rsidR="00926890">
        <w:t xml:space="preserve">zgodnymi z normami. </w:t>
      </w:r>
    </w:p>
    <w:p w:rsidR="00926890" w:rsidRPr="00056023" w:rsidRDefault="00926890" w:rsidP="00926890">
      <w:pPr>
        <w:rPr>
          <w:b/>
        </w:rPr>
      </w:pPr>
      <w:r w:rsidRPr="00056023">
        <w:rPr>
          <w:b/>
        </w:rPr>
        <w:t>Czyszczenie ulic</w:t>
      </w:r>
    </w:p>
    <w:p w:rsidR="00926890" w:rsidRDefault="00926890" w:rsidP="00926890">
      <w:pPr>
        <w:rPr>
          <w:color w:val="000000" w:themeColor="text1"/>
        </w:rPr>
      </w:pPr>
      <w:r w:rsidRPr="00370B92">
        <w:rPr>
          <w:color w:val="000000" w:themeColor="text1"/>
        </w:rPr>
        <w:t>Wpływ na jakość powietrza, przede wszystkim na ilość zanieczyszczeń pyłowych ma częstotliwość czyszczenia ulic na mokro. Głównym celem tej czynności jest usunięcie z jezdni zalegającego przy krawężnikach piasku, który w okresie zimowym używany był do posypywania ulic. W okresie lata i jesieni wykonywane są w zależności od potrzeb dodatkowe czyszczenia przykrawężnik</w:t>
      </w:r>
      <w:r>
        <w:rPr>
          <w:color w:val="000000" w:themeColor="text1"/>
        </w:rPr>
        <w:t>ach</w:t>
      </w:r>
      <w:r w:rsidRPr="00370B92">
        <w:rPr>
          <w:color w:val="000000" w:themeColor="text1"/>
        </w:rPr>
        <w:t>, których celem jest usunięcie piasku naniesionego przez wiatr i wody opadowe.</w:t>
      </w:r>
    </w:p>
    <w:p w:rsidR="00550C07" w:rsidRPr="004A3784" w:rsidRDefault="0089561A" w:rsidP="00550C07">
      <w:pPr>
        <w:rPr>
          <w:b/>
        </w:rPr>
      </w:pPr>
      <w:r w:rsidRPr="004A3784">
        <w:rPr>
          <w:b/>
        </w:rPr>
        <w:lastRenderedPageBreak/>
        <w:t xml:space="preserve">Kontrole </w:t>
      </w:r>
      <w:r w:rsidR="004A3784" w:rsidRPr="004A3784">
        <w:rPr>
          <w:b/>
        </w:rPr>
        <w:t>s</w:t>
      </w:r>
      <w:r w:rsidRPr="004A3784">
        <w:rPr>
          <w:b/>
        </w:rPr>
        <w:t xml:space="preserve">traży </w:t>
      </w:r>
      <w:r w:rsidR="004A3784" w:rsidRPr="004A3784">
        <w:rPr>
          <w:b/>
        </w:rPr>
        <w:t>m</w:t>
      </w:r>
      <w:r w:rsidRPr="004A3784">
        <w:rPr>
          <w:b/>
        </w:rPr>
        <w:t>iejskiej</w:t>
      </w:r>
    </w:p>
    <w:p w:rsidR="00550C07" w:rsidRDefault="0089561A" w:rsidP="00360A6F">
      <w:r w:rsidRPr="0089561A">
        <w:t>Co roku sezon</w:t>
      </w:r>
      <w:r>
        <w:t>ie</w:t>
      </w:r>
      <w:r w:rsidRPr="0089561A">
        <w:t xml:space="preserve"> grzewczy</w:t>
      </w:r>
      <w:r>
        <w:t>m</w:t>
      </w:r>
      <w:r w:rsidRPr="0089561A">
        <w:t xml:space="preserve"> w Mławie</w:t>
      </w:r>
      <w:r w:rsidR="004A3784">
        <w:t>, straż miejska prowadzi kontrolew zakresie jakości i rodzaju spalanego paliwa. N</w:t>
      </w:r>
      <w:r w:rsidR="004A3784" w:rsidRPr="004A3784">
        <w:t xml:space="preserve">iektórzy mieszkańcy Mławy spalają różne odpady w piecach, bo nie stać ich na to, aby ogrzewać swoje domy droższymi, ale legalnymi paliwami. </w:t>
      </w:r>
      <w:r w:rsidR="004A3784">
        <w:t>Jednak</w:t>
      </w:r>
      <w:r w:rsidR="004A3784" w:rsidRPr="004A3784">
        <w:t xml:space="preserve"> szkodliwe substancje mają niekorzystny wpływ nie tylko na środowisko, ale także na zdrowie</w:t>
      </w:r>
      <w:r w:rsidR="004A3784">
        <w:t xml:space="preserve"> ludzi</w:t>
      </w:r>
      <w:r w:rsidR="004A3784" w:rsidRPr="004A3784">
        <w:t>.</w:t>
      </w:r>
      <w:r w:rsidR="004A3784">
        <w:t xml:space="preserve"> Aby ograniczyć </w:t>
      </w:r>
      <w:r w:rsidR="004A3784" w:rsidRPr="004A3784">
        <w:t xml:space="preserve"> zanieczyszczenia</w:t>
      </w:r>
      <w:r w:rsidR="004A3784">
        <w:t xml:space="preserve"> w mieście straż miejska </w:t>
      </w:r>
      <w:r w:rsidR="004A3784" w:rsidRPr="004A3784">
        <w:t xml:space="preserve">kontrole </w:t>
      </w:r>
      <w:r w:rsidR="004A3784">
        <w:t>dotyczące spalania odpadów</w:t>
      </w:r>
      <w:r w:rsidR="004A3784" w:rsidRPr="004A3784">
        <w:t xml:space="preserve"> na podstawie art 379. ust. 2 Ustawy Prawo ochrony środowiska.</w:t>
      </w:r>
    </w:p>
    <w:p w:rsidR="00AA7FDE" w:rsidRPr="00AA7FDE" w:rsidRDefault="00AA7FDE" w:rsidP="00360A6F">
      <w:pPr>
        <w:rPr>
          <w:b/>
        </w:rPr>
      </w:pPr>
      <w:r w:rsidRPr="00AA7FDE">
        <w:rPr>
          <w:b/>
        </w:rPr>
        <w:t>Ścieżki rowerowe</w:t>
      </w:r>
    </w:p>
    <w:p w:rsidR="00AA7FDE" w:rsidRDefault="00AA7FDE" w:rsidP="00360A6F">
      <w:r>
        <w:t>Na terenie Mławy funkcjonuje 11,1 km ścieżek rowerowych (stan na rok 2017 na podstawie danych GUS).  Co roku wraz z budową nowych  i przebudową istniejących dróg, wydzielane są nowe ścieżki rowerowe.</w:t>
      </w:r>
    </w:p>
    <w:p w:rsidR="004A3784" w:rsidRPr="00677521" w:rsidRDefault="004A3784" w:rsidP="004A3784">
      <w:pPr>
        <w:rPr>
          <w:b/>
        </w:rPr>
      </w:pPr>
      <w:r w:rsidRPr="00677521">
        <w:rPr>
          <w:b/>
        </w:rPr>
        <w:t>Monity o jakości powietrza</w:t>
      </w:r>
    </w:p>
    <w:p w:rsidR="004A3784" w:rsidRDefault="004A3784" w:rsidP="004A3784">
      <w:r>
        <w:t xml:space="preserve">Na stronie internetowej, Miasto Mława </w:t>
      </w:r>
      <w:r w:rsidR="002F23CB">
        <w:t>udostępnia</w:t>
      </w:r>
      <w:r>
        <w:t xml:space="preserve"> komunikaty dotyczące stanu jakości powietrza, w aktualnościach informując (szczególnie w miesiącach zimowych) o</w:t>
      </w:r>
      <w:r w:rsidR="001E5C9E">
        <w:t> </w:t>
      </w:r>
      <w:r>
        <w:t>przekroczeniach dopuszczalnych norm zanieczyszczenia pyłami zawieszonymi PM10 i PM2.5.</w:t>
      </w:r>
    </w:p>
    <w:p w:rsidR="004A3784" w:rsidRDefault="004A3784" w:rsidP="004A3784">
      <w:r>
        <w:t xml:space="preserve">Miasto apeluje także do mieszkańców o zaprzestanie palenia śmieci, prowadząc działalność edukacyjną nt. ochrony powietrza atmosferycznego. </w:t>
      </w:r>
    </w:p>
    <w:p w:rsidR="00C00681" w:rsidRPr="00C00681" w:rsidRDefault="00C00681" w:rsidP="004A3784">
      <w:pPr>
        <w:rPr>
          <w:b/>
        </w:rPr>
      </w:pPr>
      <w:r w:rsidRPr="00C00681">
        <w:rPr>
          <w:b/>
        </w:rPr>
        <w:t>Zbiórka odpadów zielonych</w:t>
      </w:r>
    </w:p>
    <w:p w:rsidR="00C00681" w:rsidRDefault="00C00681" w:rsidP="00C00681">
      <w:r>
        <w:t xml:space="preserve">Miasto zapewnia odbiór odpadów zielonych zgodnie z Uchwałą Rady Miasta w sprawie uchwalenia </w:t>
      </w:r>
      <w:r w:rsidR="00451299" w:rsidRPr="00451299">
        <w:t>Regulamin</w:t>
      </w:r>
      <w:r w:rsidR="00451299">
        <w:t>u</w:t>
      </w:r>
      <w:r w:rsidR="00451299" w:rsidRPr="00451299">
        <w:t xml:space="preserve"> utrzymania czystości i porządku na terenie Miasta</w:t>
      </w:r>
      <w:r w:rsidR="00451299">
        <w:t xml:space="preserve">  Mława.</w:t>
      </w:r>
      <w:r>
        <w:t xml:space="preserve"> Działania mają na celu m. in. ograniczenie spalania odpadów.</w:t>
      </w:r>
    </w:p>
    <w:p w:rsidR="006235FA" w:rsidRPr="006235FA" w:rsidRDefault="006235FA" w:rsidP="004A3784">
      <w:pPr>
        <w:rPr>
          <w:b/>
        </w:rPr>
      </w:pPr>
      <w:r w:rsidRPr="006235FA">
        <w:rPr>
          <w:b/>
        </w:rPr>
        <w:t>Dofinansowanie na wymianę pieców</w:t>
      </w:r>
    </w:p>
    <w:p w:rsidR="00451299" w:rsidRDefault="00451299" w:rsidP="006235FA">
      <w:r>
        <w:t>U</w:t>
      </w:r>
      <w:r w:rsidRPr="00451299">
        <w:t>chwała Nr XXXII/378/2017 Rady Miasta Mława z dnia 26 czerwca 2017 r. w sprawie zasad udzielania dotacji celowej na finansowanie lub dofinansowanie kosztów wymiany źródeł ciepła w ramach ograniczania niskiej emisji na terenie Miasta Mława (Dz. Urz. Woj. Mazowieckiego z</w:t>
      </w:r>
      <w:r w:rsidR="001E5C9E">
        <w:t> </w:t>
      </w:r>
      <w:r w:rsidRPr="00451299">
        <w:t xml:space="preserve">2017 r., poz. 5758) oraz uchwała Nr XLIV/530/2018 Rady Miasta Mława z dnia 21 sierpnia 2018 r.  zmieniającej Uchwałę Rady Miasta Mława w sprawie zasad udzielania dotacji celowej na finansowanie lub dofinansowanie kosztów wymiany źródeł ciepła w ramach </w:t>
      </w:r>
      <w:r w:rsidRPr="00451299">
        <w:lastRenderedPageBreak/>
        <w:t>ograniczania niskiej emisji na terenie Miasta Mława (Dz. Urz. Woj. Mazowieckiego z 2018 r., poz. 8270)</w:t>
      </w:r>
      <w:r w:rsidR="00A34769">
        <w:t>.</w:t>
      </w:r>
    </w:p>
    <w:p w:rsidR="006235FA" w:rsidRDefault="006235FA" w:rsidP="006235FA">
      <w:r>
        <w:t>Dotacja może być przeznaczona na:</w:t>
      </w:r>
    </w:p>
    <w:p w:rsidR="006235FA" w:rsidRDefault="006235FA" w:rsidP="006235FA">
      <w:r>
        <w:t>1) wymianę pieca zasilanego paliwem stałym na piec centralnego ogrzewania zasilany gazem lub olejem opałowym,</w:t>
      </w:r>
    </w:p>
    <w:p w:rsidR="006235FA" w:rsidRDefault="006235FA" w:rsidP="006235FA">
      <w:r>
        <w:t>2) wymianę pieca zasilanego paliwem stałym na ogrzewacze pomieszczeń z pompą ciepła lub niskotemperaturową pompę ciepła, dla których źródłem ciepła jest grunt lub podobne źródło,</w:t>
      </w:r>
    </w:p>
    <w:p w:rsidR="006235FA" w:rsidRDefault="006235FA" w:rsidP="004A3784">
      <w:r>
        <w:t>3) budowę przyłącza gazowego w przypadku wymiany pieca zasilanego paliwem stałym na piec centralnego ogrzewania zasilany gazem.</w:t>
      </w:r>
    </w:p>
    <w:p w:rsidR="00566DB4" w:rsidRDefault="00566DB4" w:rsidP="004A3784"/>
    <w:p w:rsidR="009C7CDE" w:rsidRDefault="004A1341" w:rsidP="008F04F6">
      <w:pPr>
        <w:pStyle w:val="Styl1"/>
      </w:pPr>
      <w:bookmarkStart w:id="215" w:name="_Toc530660618"/>
      <w:bookmarkStart w:id="216" w:name="_Toc535233355"/>
      <w:r>
        <w:t>7</w:t>
      </w:r>
      <w:r w:rsidR="009C7CDE">
        <w:t>. Zarządzanie i realizacja PONE</w:t>
      </w:r>
      <w:bookmarkEnd w:id="215"/>
      <w:bookmarkEnd w:id="216"/>
    </w:p>
    <w:p w:rsidR="009C7CDE" w:rsidRDefault="004A1341" w:rsidP="008F04F6">
      <w:pPr>
        <w:pStyle w:val="Styl2"/>
      </w:pPr>
      <w:bookmarkStart w:id="217" w:name="_Toc530660619"/>
      <w:bookmarkStart w:id="218" w:name="_Toc535233356"/>
      <w:r>
        <w:t>7</w:t>
      </w:r>
      <w:r w:rsidR="009C7CDE">
        <w:t>.1 Beneficjenci i Operator Programu</w:t>
      </w:r>
      <w:bookmarkEnd w:id="217"/>
      <w:bookmarkEnd w:id="218"/>
    </w:p>
    <w:p w:rsidR="00451299" w:rsidRDefault="00451299" w:rsidP="00451299">
      <w:r>
        <w:t>Realizacja PONE będzie prowadzona w oparciu o środki:</w:t>
      </w:r>
    </w:p>
    <w:p w:rsidR="00451299" w:rsidRDefault="00451299" w:rsidP="00451299">
      <w:pPr>
        <w:pStyle w:val="Akapitzlist"/>
        <w:numPr>
          <w:ilvl w:val="0"/>
          <w:numId w:val="53"/>
        </w:numPr>
      </w:pPr>
      <w:r>
        <w:t>własne środki właścicieli/zarządców nieruchomości,</w:t>
      </w:r>
    </w:p>
    <w:p w:rsidR="00451299" w:rsidRDefault="00451299" w:rsidP="00451299">
      <w:pPr>
        <w:pStyle w:val="Akapitzlist"/>
        <w:numPr>
          <w:ilvl w:val="0"/>
          <w:numId w:val="53"/>
        </w:numPr>
      </w:pPr>
      <w:r>
        <w:t>środki zewnętrzne pozyskane z dostępnych źródeł,</w:t>
      </w:r>
    </w:p>
    <w:p w:rsidR="00451299" w:rsidRDefault="00451299" w:rsidP="00451299">
      <w:pPr>
        <w:pStyle w:val="Akapitzlist"/>
        <w:numPr>
          <w:ilvl w:val="0"/>
          <w:numId w:val="53"/>
        </w:numPr>
      </w:pPr>
      <w:r>
        <w:t>środki w budżecie Miasta Mława.</w:t>
      </w:r>
    </w:p>
    <w:p w:rsidR="009C7CDE" w:rsidRDefault="009C7CDE" w:rsidP="008F04F6">
      <w:r>
        <w:t>PONE nie ogranicza możliwości działań przekraczających zakres wyżej wymieni</w:t>
      </w:r>
      <w:r w:rsidRPr="00543B91">
        <w:t>ony. Nie przewidujesię</w:t>
      </w:r>
      <w:r>
        <w:t> </w:t>
      </w:r>
      <w:r w:rsidRPr="00543B91">
        <w:t>w</w:t>
      </w:r>
      <w:r>
        <w:t> </w:t>
      </w:r>
      <w:r w:rsidRPr="00543B91">
        <w:t xml:space="preserve">programie wsparcia </w:t>
      </w:r>
      <w:r w:rsidRPr="00966B1C">
        <w:t>finansowego indywidualnych użytkowników przy realizacji przedsięwzięć termorenowacyjnych (ocieplenie przegród zewnętrznych, wymiana stolarki okiennej, modernizacji, modernizacja instalacji wewnętrznej).</w:t>
      </w:r>
    </w:p>
    <w:p w:rsidR="009C7CDE" w:rsidRPr="004E5AF8" w:rsidRDefault="004E5AF8" w:rsidP="009C7CDE">
      <w:pPr>
        <w:rPr>
          <w:color w:val="000000" w:themeColor="text1"/>
        </w:rPr>
      </w:pPr>
      <w:r w:rsidRPr="004E5AF8">
        <w:rPr>
          <w:color w:val="000000" w:themeColor="text1"/>
        </w:rPr>
        <w:t>Programem zarządza i program monitoruje Miasto Mława</w:t>
      </w:r>
      <w:r w:rsidR="009C5E7C" w:rsidRPr="004E5AF8">
        <w:rPr>
          <w:color w:val="000000" w:themeColor="text1"/>
        </w:rPr>
        <w:t>, k</w:t>
      </w:r>
      <w:r w:rsidR="009C7CDE" w:rsidRPr="004E5AF8">
        <w:rPr>
          <w:color w:val="000000" w:themeColor="text1"/>
        </w:rPr>
        <w:t>olejnymi krokami ze strony Miastaw zakresie wdrażania Programu są:</w:t>
      </w:r>
    </w:p>
    <w:p w:rsidR="009C7CDE" w:rsidRDefault="009C7CDE" w:rsidP="00AA7DC0">
      <w:pPr>
        <w:pStyle w:val="Akapitzlist"/>
        <w:numPr>
          <w:ilvl w:val="0"/>
          <w:numId w:val="35"/>
        </w:numPr>
        <w:spacing w:before="0" w:after="160"/>
      </w:pPr>
      <w:r>
        <w:t>uchwalenie przez Radę Miasta Mława Programu Ogranicz</w:t>
      </w:r>
      <w:r w:rsidR="007861DB">
        <w:t>a</w:t>
      </w:r>
      <w:r>
        <w:t>nia Niskiej Emisji,</w:t>
      </w:r>
    </w:p>
    <w:p w:rsidR="009C7CDE" w:rsidRDefault="009C7CDE" w:rsidP="00AA7DC0">
      <w:pPr>
        <w:pStyle w:val="Akapitzlist"/>
        <w:numPr>
          <w:ilvl w:val="0"/>
          <w:numId w:val="35"/>
        </w:numPr>
        <w:spacing w:before="0" w:after="160"/>
      </w:pPr>
      <w:r>
        <w:t>wybór Operatora Programu (ze struktur własnych),</w:t>
      </w:r>
    </w:p>
    <w:p w:rsidR="009C7CDE" w:rsidRDefault="009C7CDE" w:rsidP="00AA7DC0">
      <w:pPr>
        <w:pStyle w:val="Akapitzlist"/>
        <w:numPr>
          <w:ilvl w:val="0"/>
          <w:numId w:val="35"/>
        </w:numPr>
        <w:spacing w:before="0" w:after="160"/>
      </w:pPr>
      <w:r>
        <w:t>przyjmowanie wniosków od mieszkańców na modernizację układów grzewczych,</w:t>
      </w:r>
    </w:p>
    <w:p w:rsidR="009C7CDE" w:rsidRDefault="009C7CDE" w:rsidP="00AA7DC0">
      <w:pPr>
        <w:pStyle w:val="Akapitzlist"/>
        <w:numPr>
          <w:ilvl w:val="0"/>
          <w:numId w:val="35"/>
        </w:numPr>
        <w:spacing w:before="0" w:after="160"/>
      </w:pPr>
      <w:r>
        <w:t>weryfikacja złożonych wniosków przeprowadzana przez Operatora Programu,</w:t>
      </w:r>
    </w:p>
    <w:p w:rsidR="009C7CDE" w:rsidRDefault="009C7CDE" w:rsidP="00AA7DC0">
      <w:pPr>
        <w:pStyle w:val="Akapitzlist"/>
        <w:numPr>
          <w:ilvl w:val="0"/>
          <w:numId w:val="35"/>
        </w:numPr>
        <w:spacing w:before="0" w:after="160"/>
      </w:pPr>
      <w:r>
        <w:lastRenderedPageBreak/>
        <w:t>promocja Programu oraz wspomaganie działania punktów doradztwa, celem zwiększenia liczby uczestników (ankietyzacja mieszkańców i uzupełnienie bazy informacyjnej),</w:t>
      </w:r>
    </w:p>
    <w:p w:rsidR="009C7CDE" w:rsidRDefault="009C7CDE" w:rsidP="00AA7DC0">
      <w:pPr>
        <w:pStyle w:val="Akapitzlist"/>
        <w:numPr>
          <w:ilvl w:val="0"/>
          <w:numId w:val="35"/>
        </w:numPr>
        <w:spacing w:before="0" w:after="160"/>
      </w:pPr>
      <w:r>
        <w:t>rozliczenie rzeczowe i finansowe realizacji Programu,</w:t>
      </w:r>
    </w:p>
    <w:p w:rsidR="009C7CDE" w:rsidRDefault="009C7CDE" w:rsidP="00AA7DC0">
      <w:pPr>
        <w:pStyle w:val="Akapitzlist"/>
        <w:numPr>
          <w:ilvl w:val="0"/>
          <w:numId w:val="35"/>
        </w:numPr>
        <w:spacing w:before="0" w:after="160"/>
      </w:pPr>
      <w:r>
        <w:t>opracowanie raportów i ocena kolejnych etapów wdrożeniowych,</w:t>
      </w:r>
    </w:p>
    <w:p w:rsidR="009C7CDE" w:rsidRDefault="009C7CDE" w:rsidP="00AA7DC0">
      <w:pPr>
        <w:pStyle w:val="Akapitzlist"/>
        <w:numPr>
          <w:ilvl w:val="0"/>
          <w:numId w:val="35"/>
        </w:numPr>
        <w:spacing w:before="0" w:after="160"/>
      </w:pPr>
      <w:r>
        <w:t>dotrzymanie warunków formalno-prawnych po zakończeniu Programu.</w:t>
      </w:r>
    </w:p>
    <w:p w:rsidR="005C6A25" w:rsidRDefault="005C6A25" w:rsidP="009C7CDE">
      <w:r>
        <w:t>Miasto Mława dąży do powstania na jego terenie punktu konsultacyjnego odnośnie Programu Czyste Powietrze.</w:t>
      </w:r>
      <w:r w:rsidR="009C5E7C">
        <w:t xml:space="preserve"> Dzięki temu mieszkańcy będą mogli uzyskać porady merytoryczne w zakresie wzięcia udziału w Programie. </w:t>
      </w:r>
    </w:p>
    <w:p w:rsidR="009C5E7C" w:rsidRDefault="009C7CDE" w:rsidP="009C7CDE">
      <w:r>
        <w:t>Miasto dokona wyboru Operatora z własnych struktur. Oznacza to, że wszelkimi sprawami dotyczącymi wdrażania Programu, zajmować się będzie oddelegowany do tego zespół pracowników Urzędu Miasta. Nie przewiduje się wyboru Operatora w drodze przetargu.</w:t>
      </w:r>
    </w:p>
    <w:p w:rsidR="00566DB4" w:rsidRDefault="00566DB4" w:rsidP="009C7CDE"/>
    <w:p w:rsidR="009C7CDE" w:rsidRDefault="009C7CDE" w:rsidP="009C7CDE">
      <w:pPr>
        <w:pStyle w:val="Styl2"/>
        <w:spacing w:line="360" w:lineRule="auto"/>
        <w:rPr>
          <w:highlight w:val="magenta"/>
        </w:rPr>
      </w:pPr>
      <w:bookmarkStart w:id="219" w:name="_Toc523732391"/>
      <w:bookmarkStart w:id="220" w:name="_Toc524375265"/>
      <w:bookmarkStart w:id="221" w:name="_Toc524936092"/>
      <w:bookmarkStart w:id="222" w:name="_Toc525562224"/>
      <w:bookmarkStart w:id="223" w:name="_Toc529438925"/>
      <w:bookmarkStart w:id="224" w:name="_Toc535233357"/>
      <w:r w:rsidRPr="001C0671">
        <w:t>7.2 Zasady kwalifikacji udziału w programie</w:t>
      </w:r>
      <w:bookmarkEnd w:id="219"/>
      <w:bookmarkEnd w:id="220"/>
      <w:bookmarkEnd w:id="221"/>
      <w:bookmarkEnd w:id="222"/>
      <w:bookmarkEnd w:id="223"/>
      <w:bookmarkEnd w:id="224"/>
    </w:p>
    <w:p w:rsidR="009C7CDE" w:rsidRDefault="009C7CDE" w:rsidP="009C7CDE">
      <w:pPr>
        <w:rPr>
          <w:rFonts w:cs="TimesNewRomanPSMT"/>
          <w:szCs w:val="24"/>
        </w:rPr>
      </w:pPr>
      <w:r w:rsidRPr="00A939BD">
        <w:rPr>
          <w:szCs w:val="24"/>
        </w:rPr>
        <w:t xml:space="preserve">Podstawową zasadą przyjętą w Programie jest ogólna dostępność beneficjentów do udziału </w:t>
      </w:r>
      <w:r w:rsidR="003778CA">
        <w:rPr>
          <w:szCs w:val="24"/>
        </w:rPr>
        <w:br/>
      </w:r>
      <w:r w:rsidRPr="00A939BD">
        <w:rPr>
          <w:szCs w:val="24"/>
        </w:rPr>
        <w:t xml:space="preserve">w Programie, natomiast istnieją ograniczenia wynikające głównie z możliwości finansowych współudziału ze strony </w:t>
      </w:r>
      <w:r>
        <w:rPr>
          <w:szCs w:val="24"/>
        </w:rPr>
        <w:t>Miasta.</w:t>
      </w:r>
      <w:r w:rsidRPr="00A939BD">
        <w:rPr>
          <w:rFonts w:cs="TimesNewRomanPSMT"/>
          <w:szCs w:val="24"/>
        </w:rPr>
        <w:t xml:space="preserve">Przyznanie dotacji uzależnione jest od możliwości finansowych </w:t>
      </w:r>
      <w:r>
        <w:rPr>
          <w:rFonts w:cs="TimesNewRomanPSMT"/>
          <w:szCs w:val="24"/>
        </w:rPr>
        <w:t>Miasta Mława</w:t>
      </w:r>
      <w:r w:rsidRPr="00A939BD">
        <w:rPr>
          <w:rFonts w:cs="TimesNewRomanPSMT"/>
          <w:szCs w:val="24"/>
        </w:rPr>
        <w:t xml:space="preserve"> w danym roku budżetowym.</w:t>
      </w:r>
    </w:p>
    <w:p w:rsidR="00E00996" w:rsidRDefault="00E00996" w:rsidP="00E00996">
      <w:r>
        <w:t xml:space="preserve">Działania uwzględnione w Programie mogą być finansowane zarówno ze środków własnych Miasta Mława (w zależności od możliwości finansowych) jak i środków zewnętrznych </w:t>
      </w:r>
      <w:r>
        <w:br/>
        <w:t xml:space="preserve">(np. Program Czyste Powietrze). W przypadku finansowania działań ze środków budżetu Miasta Mława, szczegółowe zasady i tryb udzielenia dotacji </w:t>
      </w:r>
      <w:r w:rsidR="00A34769" w:rsidRPr="00A34769">
        <w:t>uchwała Nr XXXII/378/2017 Rady Miasta Mława z dnia 26 czerwca 2017 r. w sprawie zasad udzielania dotacji celowej na finansowanie lub dofinansowanie kosztów wymiany źródeł ciepła w ramach ograniczania niskiej emisji na terenie Miasta Mława (Dz. Urz. Woj. Mazowieckiego z 2017 r., poz. 5758) oraz uchwała Nr XLIV/530/2018 Rady Miasta Mława z dnia 21 sierpnia 2018 r.  zmieniającej Uchwałę Rady Miasta Mława w sprawie zasad udzielania dotacji celowej na finansowanie lub dofinansowanie kosztów wymiany źródeł ciepła w ramach ograniczania niskiej emisji na terenie Miasta Mława (Dz. Urz. Woj. Mazowieckiego z 2018 r., poz. 8270)</w:t>
      </w:r>
      <w:r>
        <w:t>.</w:t>
      </w:r>
    </w:p>
    <w:p w:rsidR="009C7CDE" w:rsidRPr="00A939BD" w:rsidRDefault="009C7CDE" w:rsidP="009C7CDE">
      <w:pPr>
        <w:rPr>
          <w:rFonts w:cs="TimesNewRomanPSMT"/>
          <w:szCs w:val="24"/>
        </w:rPr>
      </w:pPr>
      <w:r w:rsidRPr="00A939BD">
        <w:rPr>
          <w:rFonts w:cs="TimesNewRomanPSMT"/>
          <w:szCs w:val="24"/>
        </w:rPr>
        <w:lastRenderedPageBreak/>
        <w:t xml:space="preserve">Dotacja celowa może być udzielona </w:t>
      </w:r>
      <w:r w:rsidRPr="009C7CDE">
        <w:rPr>
          <w:rFonts w:cs="TimesNewRomanPSMT"/>
          <w:szCs w:val="24"/>
        </w:rPr>
        <w:t>na finansowanie lub dofinansowanie kosztów wymiany źródeł ciepła zasilanych paliwamistałymi na nowe źródła ciepła o zmniejszonej emisji zanieczyszczeń do atmosfery w ramachograniczania niskiej emisji na terenie Miasta Mława.</w:t>
      </w:r>
    </w:p>
    <w:p w:rsidR="00395D55" w:rsidRPr="00395D55" w:rsidRDefault="00395D55" w:rsidP="00395D55">
      <w:pPr>
        <w:rPr>
          <w:rFonts w:cs="TimesNewRomanPSMT"/>
          <w:szCs w:val="24"/>
        </w:rPr>
      </w:pPr>
      <w:r w:rsidRPr="00395D55">
        <w:rPr>
          <w:rFonts w:cs="TimesNewRomanPSMT"/>
          <w:szCs w:val="24"/>
        </w:rPr>
        <w:t>Dotacja może być przeznaczona na:</w:t>
      </w:r>
    </w:p>
    <w:p w:rsidR="00395D55" w:rsidRPr="00395D55" w:rsidRDefault="00395D55" w:rsidP="00AA7DC0">
      <w:pPr>
        <w:pStyle w:val="Akapitzlist"/>
        <w:numPr>
          <w:ilvl w:val="0"/>
          <w:numId w:val="38"/>
        </w:numPr>
        <w:rPr>
          <w:rFonts w:cs="TimesNewRomanPSMT"/>
          <w:szCs w:val="24"/>
        </w:rPr>
      </w:pPr>
      <w:r w:rsidRPr="00395D55">
        <w:rPr>
          <w:rFonts w:cs="TimesNewRomanPSMT"/>
          <w:szCs w:val="24"/>
        </w:rPr>
        <w:t>wymianę pieca zasilanego paliwem stałym na piec centralnego ogrzewania zasilany gazem lub olejem opałowym,</w:t>
      </w:r>
    </w:p>
    <w:p w:rsidR="00395D55" w:rsidRPr="00395D55" w:rsidRDefault="00395D55" w:rsidP="00AA7DC0">
      <w:pPr>
        <w:pStyle w:val="Akapitzlist"/>
        <w:numPr>
          <w:ilvl w:val="0"/>
          <w:numId w:val="38"/>
        </w:numPr>
        <w:rPr>
          <w:rFonts w:cs="TimesNewRomanPSMT"/>
          <w:szCs w:val="24"/>
        </w:rPr>
      </w:pPr>
      <w:r w:rsidRPr="00395D55">
        <w:rPr>
          <w:rFonts w:cs="TimesNewRomanPSMT"/>
          <w:szCs w:val="24"/>
        </w:rPr>
        <w:t>wymianę pieca zasilanego paliwem stałym na ogrzewacze pomieszczeń z pompą ciepła lub niskotemperaturową pompę ciepła, dla których źródłem ciepła jest grunt lub podobne źródło,</w:t>
      </w:r>
    </w:p>
    <w:p w:rsidR="003778CA" w:rsidRDefault="00395D55" w:rsidP="00451299">
      <w:pPr>
        <w:pStyle w:val="Akapitzlist"/>
        <w:numPr>
          <w:ilvl w:val="0"/>
          <w:numId w:val="38"/>
        </w:numPr>
        <w:rPr>
          <w:rFonts w:cs="TimesNewRomanPSMT"/>
          <w:szCs w:val="24"/>
        </w:rPr>
      </w:pPr>
      <w:r w:rsidRPr="00395D55">
        <w:rPr>
          <w:rFonts w:cs="TimesNewRomanPSMT"/>
          <w:szCs w:val="24"/>
        </w:rPr>
        <w:t>budowę przyłącza gazowego w przypadku wymiany pieca zasilanego paliwem stałym na piec centralnego ogrzewania zasilany gazem.</w:t>
      </w:r>
    </w:p>
    <w:p w:rsidR="00566DB4" w:rsidRPr="003778CA" w:rsidRDefault="00566DB4" w:rsidP="00566DB4">
      <w:pPr>
        <w:pStyle w:val="Akapitzlist"/>
        <w:rPr>
          <w:rFonts w:cs="TimesNewRomanPSMT"/>
          <w:szCs w:val="24"/>
        </w:rPr>
      </w:pPr>
    </w:p>
    <w:p w:rsidR="00395D55" w:rsidRPr="00E457E6" w:rsidRDefault="00395D55" w:rsidP="00395D55">
      <w:pPr>
        <w:pStyle w:val="Styl2"/>
        <w:spacing w:line="360" w:lineRule="auto"/>
      </w:pPr>
      <w:bookmarkStart w:id="225" w:name="_Toc523732392"/>
      <w:bookmarkStart w:id="226" w:name="_Toc524375266"/>
      <w:bookmarkStart w:id="227" w:name="_Toc524936093"/>
      <w:bookmarkStart w:id="228" w:name="_Toc525562225"/>
      <w:bookmarkStart w:id="229" w:name="_Toc529438926"/>
      <w:bookmarkStart w:id="230" w:name="_Toc535233358"/>
      <w:r w:rsidRPr="00E457E6">
        <w:t>7.3 Harmonogram</w:t>
      </w:r>
      <w:bookmarkEnd w:id="225"/>
      <w:r w:rsidRPr="00E457E6">
        <w:t xml:space="preserve"> rzeczowo-finansowy</w:t>
      </w:r>
      <w:bookmarkEnd w:id="226"/>
      <w:bookmarkEnd w:id="227"/>
      <w:bookmarkEnd w:id="228"/>
      <w:bookmarkEnd w:id="229"/>
      <w:bookmarkEnd w:id="230"/>
    </w:p>
    <w:p w:rsidR="005570E9" w:rsidRPr="00E00996" w:rsidRDefault="00395D55" w:rsidP="00395D55">
      <w:pPr>
        <w:pStyle w:val="Akapitzlist"/>
        <w:ind w:left="0"/>
        <w:rPr>
          <w:rFonts w:cs="Calibri Light"/>
        </w:rPr>
        <w:sectPr w:rsidR="005570E9" w:rsidRPr="00E00996" w:rsidSect="00C87C82">
          <w:footerReference w:type="default" r:id="rId39"/>
          <w:footerReference w:type="first" r:id="rId40"/>
          <w:pgSz w:w="11906" w:h="16838"/>
          <w:pgMar w:top="1417" w:right="1417" w:bottom="1417" w:left="1417" w:header="454" w:footer="708" w:gutter="0"/>
          <w:cols w:space="708"/>
          <w:titlePg/>
          <w:docGrid w:linePitch="360"/>
        </w:sectPr>
      </w:pPr>
      <w:r w:rsidRPr="00E00996">
        <w:rPr>
          <w:rFonts w:cs="Calibri Light"/>
        </w:rPr>
        <w:t>Poniżej przedstawiono harmonogram rzeczowo-finansowy działań wskazanych w PONE dla Miasta Mława na lata 2019-2024.</w:t>
      </w:r>
    </w:p>
    <w:p w:rsidR="00395D55" w:rsidRDefault="00395D55" w:rsidP="00395D55">
      <w:pPr>
        <w:pStyle w:val="Legenda"/>
        <w:keepNext/>
      </w:pPr>
      <w:bookmarkStart w:id="231" w:name="_Toc535583571"/>
      <w:r>
        <w:lastRenderedPageBreak/>
        <w:t xml:space="preserve">Tabela </w:t>
      </w:r>
      <w:r w:rsidR="00135E52">
        <w:rPr>
          <w:noProof/>
        </w:rPr>
        <w:fldChar w:fldCharType="begin"/>
      </w:r>
      <w:r w:rsidR="00CE339D">
        <w:rPr>
          <w:noProof/>
        </w:rPr>
        <w:instrText xml:space="preserve"> SEQ Tabela \* ARABIC </w:instrText>
      </w:r>
      <w:r w:rsidR="00135E52">
        <w:rPr>
          <w:noProof/>
        </w:rPr>
        <w:fldChar w:fldCharType="separate"/>
      </w:r>
      <w:r w:rsidR="00AD136C">
        <w:rPr>
          <w:noProof/>
        </w:rPr>
        <w:t>12</w:t>
      </w:r>
      <w:r w:rsidR="00135E52">
        <w:rPr>
          <w:noProof/>
        </w:rPr>
        <w:fldChar w:fldCharType="end"/>
      </w:r>
      <w:r w:rsidRPr="004E414F">
        <w:t xml:space="preserve">Harmonogram rzeczowo-finansowy PONE dla </w:t>
      </w:r>
      <w:r>
        <w:t>Miasta Mława.</w:t>
      </w:r>
      <w:bookmarkEnd w:id="231"/>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3035"/>
        <w:gridCol w:w="1015"/>
        <w:gridCol w:w="1271"/>
        <w:gridCol w:w="1271"/>
        <w:gridCol w:w="1271"/>
        <w:gridCol w:w="1129"/>
        <w:gridCol w:w="1101"/>
        <w:gridCol w:w="1129"/>
        <w:gridCol w:w="1101"/>
        <w:gridCol w:w="1388"/>
      </w:tblGrid>
      <w:tr w:rsidR="005570E9" w:rsidRPr="005570E9" w:rsidTr="00856B08">
        <w:trPr>
          <w:cnfStyle w:val="100000000000"/>
          <w:trHeight w:val="1160"/>
        </w:trPr>
        <w:tc>
          <w:tcPr>
            <w:cnfStyle w:val="001000000000"/>
            <w:tcW w:w="179" w:type="pct"/>
            <w:tcBorders>
              <w:top w:val="none" w:sz="0" w:space="0" w:color="auto"/>
              <w:left w:val="none" w:sz="0" w:space="0" w:color="auto"/>
              <w:right w:val="none" w:sz="0" w:space="0" w:color="auto"/>
            </w:tcBorders>
            <w:noWrap/>
            <w:vAlign w:val="center"/>
            <w:hideMark/>
          </w:tcPr>
          <w:p w:rsidR="00CF30BB" w:rsidRPr="00CF30BB" w:rsidRDefault="00CF30BB" w:rsidP="009F263B">
            <w:pPr>
              <w:spacing w:line="240" w:lineRule="auto"/>
              <w:jc w:val="center"/>
              <w:rPr>
                <w:rFonts w:eastAsia="Times New Roman" w:cs="Times New Roman"/>
                <w:b w:val="0"/>
                <w:bCs w:val="0"/>
                <w:color w:val="000000"/>
                <w:sz w:val="18"/>
                <w:szCs w:val="18"/>
              </w:rPr>
            </w:pPr>
            <w:r w:rsidRPr="00CF30BB">
              <w:rPr>
                <w:rFonts w:eastAsia="Times New Roman" w:cs="Times New Roman"/>
                <w:b w:val="0"/>
                <w:bCs w:val="0"/>
                <w:color w:val="000000"/>
                <w:sz w:val="18"/>
                <w:szCs w:val="18"/>
              </w:rPr>
              <w:t>Lp.</w:t>
            </w:r>
          </w:p>
        </w:tc>
        <w:tc>
          <w:tcPr>
            <w:tcW w:w="106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Działanie</w:t>
            </w:r>
          </w:p>
        </w:tc>
        <w:tc>
          <w:tcPr>
            <w:tcW w:w="35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Liczba budynków objętych działaniem</w:t>
            </w:r>
          </w:p>
        </w:tc>
        <w:tc>
          <w:tcPr>
            <w:tcW w:w="44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Szacunkowy koszt jednej modernizacji</w:t>
            </w:r>
          </w:p>
        </w:tc>
        <w:tc>
          <w:tcPr>
            <w:tcW w:w="44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2019</w:t>
            </w:r>
          </w:p>
        </w:tc>
        <w:tc>
          <w:tcPr>
            <w:tcW w:w="44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2020</w:t>
            </w:r>
          </w:p>
        </w:tc>
        <w:tc>
          <w:tcPr>
            <w:tcW w:w="39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2021</w:t>
            </w:r>
          </w:p>
        </w:tc>
        <w:tc>
          <w:tcPr>
            <w:tcW w:w="38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2022</w:t>
            </w:r>
          </w:p>
        </w:tc>
        <w:tc>
          <w:tcPr>
            <w:tcW w:w="39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2023</w:t>
            </w:r>
          </w:p>
        </w:tc>
        <w:tc>
          <w:tcPr>
            <w:tcW w:w="387"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2024</w:t>
            </w:r>
          </w:p>
        </w:tc>
        <w:tc>
          <w:tcPr>
            <w:tcW w:w="490" w:type="pct"/>
            <w:tcBorders>
              <w:top w:val="none" w:sz="0" w:space="0" w:color="auto"/>
              <w:left w:val="none" w:sz="0" w:space="0" w:color="auto"/>
              <w:right w:val="none" w:sz="0" w:space="0" w:color="auto"/>
            </w:tcBorders>
            <w:vAlign w:val="center"/>
            <w:hideMark/>
          </w:tcPr>
          <w:p w:rsidR="00CF30BB" w:rsidRPr="00CF30BB" w:rsidRDefault="00CF30BB" w:rsidP="009F263B">
            <w:pPr>
              <w:spacing w:line="240" w:lineRule="auto"/>
              <w:jc w:val="center"/>
              <w:cnfStyle w:val="100000000000"/>
              <w:rPr>
                <w:rFonts w:eastAsia="Times New Roman" w:cs="Times New Roman"/>
                <w:b w:val="0"/>
                <w:bCs w:val="0"/>
                <w:color w:val="000000"/>
                <w:sz w:val="18"/>
                <w:szCs w:val="18"/>
              </w:rPr>
            </w:pPr>
            <w:r w:rsidRPr="00CF30BB">
              <w:rPr>
                <w:rFonts w:eastAsia="Times New Roman" w:cs="Times New Roman"/>
                <w:b w:val="0"/>
                <w:bCs w:val="0"/>
                <w:color w:val="000000"/>
                <w:sz w:val="18"/>
                <w:szCs w:val="18"/>
              </w:rPr>
              <w:t>Łączny koszt realizacji działania</w:t>
            </w:r>
          </w:p>
        </w:tc>
      </w:tr>
      <w:tr w:rsidR="005570E9" w:rsidRPr="00CF30BB" w:rsidTr="00856B08">
        <w:trPr>
          <w:cnfStyle w:val="000000100000"/>
          <w:trHeight w:val="376"/>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1</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Podłączenie lokalu do sieci cieplnej</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40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270 000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40 000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370 000,00 zł</w:t>
            </w:r>
          </w:p>
        </w:tc>
      </w:tr>
      <w:tr w:rsidR="005570E9" w:rsidRPr="00CF30BB" w:rsidTr="00856B08">
        <w:trPr>
          <w:trHeight w:val="496"/>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2</w:t>
            </w:r>
          </w:p>
        </w:tc>
        <w:tc>
          <w:tcPr>
            <w:tcW w:w="106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Wymiana ogrzewania węglowego na elektryczne</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60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100 000</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600 000,00 zł</w:t>
            </w:r>
          </w:p>
        </w:tc>
      </w:tr>
      <w:tr w:rsidR="005570E9" w:rsidRPr="00CF30BB" w:rsidTr="00856B08">
        <w:trPr>
          <w:cnfStyle w:val="000000100000"/>
          <w:trHeight w:val="618"/>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3</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Wymiana starych kotłów węglowych na nowe zasilane ręcznie</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6</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10 000</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60 000,00 zł</w:t>
            </w:r>
          </w:p>
        </w:tc>
      </w:tr>
      <w:tr w:rsidR="005570E9" w:rsidRPr="00CF30BB" w:rsidTr="00856B08">
        <w:trPr>
          <w:trHeight w:val="498"/>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4</w:t>
            </w:r>
          </w:p>
        </w:tc>
        <w:tc>
          <w:tcPr>
            <w:tcW w:w="106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Wymiana starych kotłów węglowych na nowe zasilane automatycznie</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16</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12 500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25 000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25 000</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200 000,00 zł</w:t>
            </w:r>
          </w:p>
        </w:tc>
      </w:tr>
      <w:tr w:rsidR="005570E9" w:rsidRPr="00CF30BB" w:rsidTr="00856B08">
        <w:trPr>
          <w:cnfStyle w:val="000000100000"/>
          <w:trHeight w:val="561"/>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5</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Wymiana kotłów węglowych na kotły na biomasę zasilane automatycznie</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12 500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12 500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12 500,00 zł</w:t>
            </w:r>
          </w:p>
        </w:tc>
      </w:tr>
      <w:tr w:rsidR="005570E9" w:rsidRPr="00CF30BB" w:rsidTr="00856B08">
        <w:trPr>
          <w:trHeight w:val="698"/>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6</w:t>
            </w:r>
          </w:p>
        </w:tc>
        <w:tc>
          <w:tcPr>
            <w:tcW w:w="106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Wymiana kotłów węglowych na kotły na pe</w:t>
            </w:r>
            <w:r w:rsidR="005570E9">
              <w:rPr>
                <w:rFonts w:eastAsia="Times New Roman" w:cs="Times New Roman"/>
                <w:color w:val="000000"/>
                <w:sz w:val="18"/>
                <w:szCs w:val="18"/>
              </w:rPr>
              <w:t>l</w:t>
            </w:r>
            <w:r w:rsidRPr="00CF30BB">
              <w:rPr>
                <w:rFonts w:eastAsia="Times New Roman" w:cs="Times New Roman"/>
                <w:color w:val="000000"/>
                <w:sz w:val="18"/>
                <w:szCs w:val="18"/>
              </w:rPr>
              <w:t>lety zasilane automatycznie</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18</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12 500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37 500</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225 000,00 zł</w:t>
            </w:r>
          </w:p>
        </w:tc>
      </w:tr>
      <w:tr w:rsidR="005570E9" w:rsidRPr="00CF30BB" w:rsidTr="00856B08">
        <w:trPr>
          <w:cnfStyle w:val="000000100000"/>
          <w:trHeight w:val="580"/>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7</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Wymiana ogrzewania węglowego na gazowe</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1037</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2 025 000</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12 150 000,00 zł</w:t>
            </w:r>
          </w:p>
        </w:tc>
      </w:tr>
      <w:tr w:rsidR="005570E9" w:rsidRPr="00CF30BB" w:rsidTr="00856B08">
        <w:trPr>
          <w:trHeight w:val="532"/>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8</w:t>
            </w:r>
          </w:p>
        </w:tc>
        <w:tc>
          <w:tcPr>
            <w:tcW w:w="106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Wymiana ogrzewania węglowego na olejowe</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12</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15 000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30 000</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180 000,00 zł</w:t>
            </w:r>
          </w:p>
        </w:tc>
      </w:tr>
      <w:tr w:rsidR="005570E9" w:rsidRPr="00CF30BB" w:rsidTr="00856B08">
        <w:trPr>
          <w:cnfStyle w:val="000000100000"/>
          <w:trHeight w:val="580"/>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9</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Wymiana ogrzewania węglowego na pompę ciepła</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31</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150 000</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900 000,00 zł</w:t>
            </w:r>
          </w:p>
        </w:tc>
      </w:tr>
      <w:tr w:rsidR="005570E9" w:rsidRPr="00CF30BB" w:rsidTr="00856B08">
        <w:trPr>
          <w:trHeight w:val="392"/>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10</w:t>
            </w:r>
          </w:p>
        </w:tc>
        <w:tc>
          <w:tcPr>
            <w:tcW w:w="106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Zastosowanie kolektorów słonecznych</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36</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8 000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48 000</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color w:val="000000"/>
                <w:sz w:val="18"/>
                <w:szCs w:val="18"/>
              </w:rPr>
            </w:pPr>
            <w:r w:rsidRPr="00CF30BB">
              <w:rPr>
                <w:rFonts w:eastAsia="Times New Roman" w:cs="Times New Roman"/>
                <w:color w:val="000000"/>
                <w:sz w:val="18"/>
                <w:szCs w:val="18"/>
              </w:rPr>
              <w:t>288 000,00 zł</w:t>
            </w:r>
          </w:p>
        </w:tc>
      </w:tr>
      <w:tr w:rsidR="005570E9" w:rsidRPr="00CF30BB" w:rsidTr="00856B08">
        <w:trPr>
          <w:cnfStyle w:val="000000100000"/>
          <w:trHeight w:val="290"/>
        </w:trPr>
        <w:tc>
          <w:tcPr>
            <w:cnfStyle w:val="001000000000"/>
            <w:tcW w:w="179" w:type="pct"/>
            <w:tcBorders>
              <w:left w:val="none" w:sz="0" w:space="0" w:color="auto"/>
            </w:tcBorders>
            <w:noWrap/>
            <w:vAlign w:val="center"/>
            <w:hideMark/>
          </w:tcPr>
          <w:p w:rsidR="00CF30BB" w:rsidRPr="00CF30BB" w:rsidRDefault="00CF30BB" w:rsidP="009F263B">
            <w:pPr>
              <w:spacing w:line="240" w:lineRule="auto"/>
              <w:jc w:val="center"/>
              <w:rPr>
                <w:rFonts w:eastAsia="Times New Roman" w:cs="Times New Roman"/>
                <w:color w:val="000000"/>
                <w:sz w:val="18"/>
                <w:szCs w:val="18"/>
              </w:rPr>
            </w:pPr>
            <w:r w:rsidRPr="00CF30BB">
              <w:rPr>
                <w:rFonts w:eastAsia="Times New Roman" w:cs="Times New Roman"/>
                <w:color w:val="000000"/>
                <w:sz w:val="18"/>
                <w:szCs w:val="18"/>
              </w:rPr>
              <w:t>11</w:t>
            </w:r>
          </w:p>
        </w:tc>
        <w:tc>
          <w:tcPr>
            <w:tcW w:w="106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Termomodernizacja</w:t>
            </w:r>
          </w:p>
        </w:tc>
        <w:tc>
          <w:tcPr>
            <w:tcW w:w="35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47</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50 000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44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39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387"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350 000</w:t>
            </w:r>
          </w:p>
        </w:tc>
        <w:tc>
          <w:tcPr>
            <w:tcW w:w="490" w:type="pct"/>
            <w:vAlign w:val="center"/>
            <w:hideMark/>
          </w:tcPr>
          <w:p w:rsidR="00CF30BB" w:rsidRPr="00CF30BB" w:rsidRDefault="00CF30BB" w:rsidP="009F263B">
            <w:pPr>
              <w:spacing w:line="240" w:lineRule="auto"/>
              <w:jc w:val="center"/>
              <w:cnfStyle w:val="000000100000"/>
              <w:rPr>
                <w:rFonts w:eastAsia="Times New Roman" w:cs="Times New Roman"/>
                <w:color w:val="000000"/>
                <w:sz w:val="18"/>
                <w:szCs w:val="18"/>
              </w:rPr>
            </w:pPr>
            <w:r w:rsidRPr="00CF30BB">
              <w:rPr>
                <w:rFonts w:eastAsia="Times New Roman" w:cs="Times New Roman"/>
                <w:color w:val="000000"/>
                <w:sz w:val="18"/>
                <w:szCs w:val="18"/>
              </w:rPr>
              <w:t>2 100 000,00 zł</w:t>
            </w:r>
          </w:p>
        </w:tc>
      </w:tr>
      <w:tr w:rsidR="005570E9" w:rsidRPr="005570E9" w:rsidTr="00856B08">
        <w:trPr>
          <w:trHeight w:val="290"/>
        </w:trPr>
        <w:tc>
          <w:tcPr>
            <w:cnfStyle w:val="001000000000"/>
            <w:tcW w:w="1246" w:type="pct"/>
            <w:gridSpan w:val="2"/>
            <w:tcBorders>
              <w:left w:val="none" w:sz="0" w:space="0" w:color="auto"/>
              <w:bottom w:val="none" w:sz="0" w:space="0" w:color="auto"/>
            </w:tcBorders>
            <w:noWrap/>
            <w:vAlign w:val="center"/>
            <w:hideMark/>
          </w:tcPr>
          <w:p w:rsidR="00CF30BB" w:rsidRPr="00CF30BB" w:rsidRDefault="00CF30BB" w:rsidP="009F263B">
            <w:pPr>
              <w:spacing w:line="240" w:lineRule="auto"/>
              <w:jc w:val="center"/>
              <w:rPr>
                <w:rFonts w:eastAsia="Times New Roman" w:cs="Times New Roman"/>
                <w:b w:val="0"/>
                <w:bCs w:val="0"/>
                <w:color w:val="000000"/>
                <w:sz w:val="18"/>
                <w:szCs w:val="18"/>
              </w:rPr>
            </w:pPr>
            <w:r w:rsidRPr="00CF30BB">
              <w:rPr>
                <w:rFonts w:eastAsia="Times New Roman" w:cs="Times New Roman"/>
                <w:b w:val="0"/>
                <w:bCs w:val="0"/>
                <w:color w:val="000000"/>
                <w:sz w:val="18"/>
                <w:szCs w:val="18"/>
              </w:rPr>
              <w:t>SUMA</w:t>
            </w:r>
          </w:p>
        </w:tc>
        <w:tc>
          <w:tcPr>
            <w:tcW w:w="35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1304</w:t>
            </w:r>
          </w:p>
        </w:tc>
        <w:tc>
          <w:tcPr>
            <w:tcW w:w="447" w:type="pct"/>
            <w:vAlign w:val="center"/>
            <w:hideMark/>
          </w:tcPr>
          <w:p w:rsidR="00CF30BB" w:rsidRPr="00CF30BB" w:rsidRDefault="00CF30BB" w:rsidP="009F263B">
            <w:pPr>
              <w:spacing w:line="240" w:lineRule="auto"/>
              <w:jc w:val="center"/>
              <w:cnfStyle w:val="000000000000"/>
              <w:rPr>
                <w:rFonts w:ascii="Calibri" w:eastAsia="Times New Roman" w:hAnsi="Calibri" w:cs="Times New Roman"/>
                <w:b/>
                <w:bCs/>
                <w:color w:val="000000"/>
                <w:sz w:val="18"/>
                <w:szCs w:val="18"/>
              </w:rPr>
            </w:pP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3 058 000,00 zł</w:t>
            </w:r>
          </w:p>
        </w:tc>
        <w:tc>
          <w:tcPr>
            <w:tcW w:w="44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2 840 500,00 zł</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2808 000,00 zł</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2808000,00 zł</w:t>
            </w:r>
          </w:p>
        </w:tc>
        <w:tc>
          <w:tcPr>
            <w:tcW w:w="39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2795 500,00 zł</w:t>
            </w:r>
          </w:p>
        </w:tc>
        <w:tc>
          <w:tcPr>
            <w:tcW w:w="387"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2775500,00 zł</w:t>
            </w:r>
          </w:p>
        </w:tc>
        <w:tc>
          <w:tcPr>
            <w:tcW w:w="490" w:type="pct"/>
            <w:vAlign w:val="center"/>
            <w:hideMark/>
          </w:tcPr>
          <w:p w:rsidR="00CF30BB" w:rsidRPr="00CF30BB" w:rsidRDefault="00CF30BB" w:rsidP="009F263B">
            <w:pPr>
              <w:spacing w:line="240" w:lineRule="auto"/>
              <w:jc w:val="center"/>
              <w:cnfStyle w:val="000000000000"/>
              <w:rPr>
                <w:rFonts w:eastAsia="Times New Roman" w:cs="Times New Roman"/>
                <w:b/>
                <w:bCs/>
                <w:color w:val="000000"/>
                <w:sz w:val="18"/>
                <w:szCs w:val="18"/>
              </w:rPr>
            </w:pPr>
            <w:r w:rsidRPr="00CF30BB">
              <w:rPr>
                <w:rFonts w:eastAsia="Times New Roman" w:cs="Times New Roman"/>
                <w:b/>
                <w:bCs/>
                <w:color w:val="000000"/>
                <w:sz w:val="18"/>
                <w:szCs w:val="18"/>
              </w:rPr>
              <w:t>17 085 500,00 zł</w:t>
            </w:r>
          </w:p>
        </w:tc>
      </w:tr>
    </w:tbl>
    <w:p w:rsidR="005570E9" w:rsidRPr="00856B08" w:rsidRDefault="00856B08" w:rsidP="00395D55">
      <w:pPr>
        <w:pStyle w:val="Akapitzlist"/>
        <w:ind w:left="0"/>
        <w:rPr>
          <w:sz w:val="18"/>
          <w:szCs w:val="18"/>
        </w:rPr>
        <w:sectPr w:rsidR="005570E9" w:rsidRPr="00856B08" w:rsidSect="005570E9">
          <w:pgSz w:w="16838" w:h="11906" w:orient="landscape"/>
          <w:pgMar w:top="1417" w:right="1417" w:bottom="1417" w:left="1417" w:header="454" w:footer="708" w:gutter="0"/>
          <w:cols w:space="708"/>
          <w:titlePg/>
          <w:docGrid w:linePitch="360"/>
        </w:sectPr>
      </w:pPr>
      <w:r>
        <w:rPr>
          <w:sz w:val="18"/>
          <w:szCs w:val="18"/>
        </w:rPr>
        <w:t>*</w:t>
      </w:r>
      <w:r w:rsidRPr="00856B08">
        <w:rPr>
          <w:sz w:val="18"/>
          <w:szCs w:val="18"/>
        </w:rPr>
        <w:t>Nie wszystkie wyżej wymienione działania będą pokryte z środków własnych Miasta. Część działań finansowana będzie ze środków zewnętrznych.</w:t>
      </w:r>
      <w:r>
        <w:rPr>
          <w:sz w:val="18"/>
          <w:szCs w:val="18"/>
        </w:rPr>
        <w:t xml:space="preserve"> Szczegółowe informacje na temat </w:t>
      </w:r>
      <w:r w:rsidR="00412581">
        <w:rPr>
          <w:sz w:val="18"/>
          <w:szCs w:val="18"/>
        </w:rPr>
        <w:t xml:space="preserve">efektu zasad i źródeł </w:t>
      </w:r>
      <w:r>
        <w:rPr>
          <w:sz w:val="18"/>
          <w:szCs w:val="18"/>
        </w:rPr>
        <w:t xml:space="preserve">finansowania </w:t>
      </w:r>
      <w:r w:rsidR="00412581">
        <w:rPr>
          <w:sz w:val="18"/>
          <w:szCs w:val="18"/>
        </w:rPr>
        <w:t>, opisane zostały w podrozdziałach 7.1; 7,2 oraz w rozdziale 9.  Natomiast szczegółowy zakres efektu rzeczowego opisano w podrozdziale 6.4.</w:t>
      </w:r>
    </w:p>
    <w:p w:rsidR="00395D55" w:rsidRPr="00E457E6" w:rsidRDefault="00B70A8F" w:rsidP="00B70A8F">
      <w:pPr>
        <w:pStyle w:val="Styl1"/>
      </w:pPr>
      <w:bookmarkStart w:id="232" w:name="_Toc506286959"/>
      <w:bookmarkStart w:id="233" w:name="_Toc523732394"/>
      <w:bookmarkStart w:id="234" w:name="_Toc524375268"/>
      <w:bookmarkStart w:id="235" w:name="_Toc524936095"/>
      <w:bookmarkStart w:id="236" w:name="_Toc525562227"/>
      <w:bookmarkStart w:id="237" w:name="_Toc529438928"/>
      <w:bookmarkStart w:id="238" w:name="_Toc535233360"/>
      <w:r>
        <w:lastRenderedPageBreak/>
        <w:t>8</w:t>
      </w:r>
      <w:r w:rsidR="00395D55" w:rsidRPr="00C44741">
        <w:t xml:space="preserve">. </w:t>
      </w:r>
      <w:bookmarkEnd w:id="232"/>
      <w:bookmarkEnd w:id="233"/>
      <w:bookmarkEnd w:id="234"/>
      <w:bookmarkEnd w:id="235"/>
      <w:bookmarkEnd w:id="236"/>
      <w:r w:rsidR="00395D55">
        <w:t>ŹRÓDŁA FINANSOWANIA ZADAŃ</w:t>
      </w:r>
      <w:bookmarkEnd w:id="237"/>
      <w:bookmarkEnd w:id="238"/>
    </w:p>
    <w:p w:rsidR="00395D55" w:rsidRPr="00E457E6" w:rsidRDefault="00B70A8F" w:rsidP="00395D55">
      <w:pPr>
        <w:pStyle w:val="Styl2"/>
        <w:spacing w:line="360" w:lineRule="auto"/>
      </w:pPr>
      <w:bookmarkStart w:id="239" w:name="_Toc523732395"/>
      <w:bookmarkStart w:id="240" w:name="_Toc524375269"/>
      <w:bookmarkStart w:id="241" w:name="_Toc524936096"/>
      <w:bookmarkStart w:id="242" w:name="_Toc525562228"/>
      <w:bookmarkStart w:id="243" w:name="_Toc529438929"/>
      <w:bookmarkStart w:id="244" w:name="_Toc535233361"/>
      <w:r>
        <w:t>8</w:t>
      </w:r>
      <w:r w:rsidR="00395D55" w:rsidRPr="00E457E6">
        <w:t>.1 Środki własne</w:t>
      </w:r>
      <w:bookmarkEnd w:id="239"/>
      <w:bookmarkEnd w:id="240"/>
      <w:bookmarkEnd w:id="241"/>
      <w:bookmarkEnd w:id="242"/>
      <w:bookmarkEnd w:id="243"/>
      <w:r w:rsidR="008F04F6">
        <w:t>Miasta Mława</w:t>
      </w:r>
      <w:bookmarkEnd w:id="244"/>
    </w:p>
    <w:p w:rsidR="006235FA" w:rsidRPr="006235FA" w:rsidRDefault="006235FA" w:rsidP="006235FA">
      <w:pPr>
        <w:autoSpaceDE w:val="0"/>
        <w:autoSpaceDN w:val="0"/>
        <w:adjustRightInd w:val="0"/>
        <w:spacing w:after="0" w:line="240" w:lineRule="auto"/>
        <w:rPr>
          <w:rFonts w:cs="Calibri Light"/>
          <w:b/>
          <w:szCs w:val="24"/>
        </w:rPr>
      </w:pPr>
      <w:r w:rsidRPr="006235FA">
        <w:rPr>
          <w:rFonts w:cs="Calibri Light"/>
          <w:b/>
          <w:szCs w:val="24"/>
        </w:rPr>
        <w:t>Uchwałę Rady Miasta Mława w sprawie zasad udzielania dotacji celowej nafinansowanie lub dofinansowanie kosztów wymiany źródeł ciepła w ramachograniczania niskiej emisji naterenie Miasta Mława</w:t>
      </w:r>
      <w:r w:rsidRPr="006235FA">
        <w:rPr>
          <w:rFonts w:cs="Calibri Light"/>
          <w:b/>
          <w:szCs w:val="24"/>
        </w:rPr>
        <w:cr/>
      </w:r>
    </w:p>
    <w:p w:rsidR="00395D55" w:rsidRDefault="006235FA" w:rsidP="006235FA">
      <w:r>
        <w:t xml:space="preserve">Załącznik do </w:t>
      </w:r>
      <w:r w:rsidR="00A34769" w:rsidRPr="00A34769">
        <w:t>uchwała Nr XXXII/378/2017 Rady Miasta Mława z dnia 26 czerwca 2017 r. w</w:t>
      </w:r>
      <w:r w:rsidR="001E5C9E">
        <w:t> </w:t>
      </w:r>
      <w:r w:rsidR="00A34769" w:rsidRPr="00A34769">
        <w:t>sprawie zasad udzielania dotacji celowej na finansowanie lub dofinansowanie kosztów wymiany źródeł ciepła w ramach ograniczania niskiej emisji na terenie Miasta Mława (Dz. Urz. Woj. Mazowieckiego z 2017 r., poz. 5758) oraz uchwała Nr XLIV/530/2018 Rady Miasta Mława z dnia 21 sierpnia 2018 r.  zmieniającej Uchwałę Rady Miasta Mława w sprawie zasad udzielania dotacji celowej na finansowanie lub dofinansowanie kosztów wymiany źródeł ciepła w ramach ograniczania niskiej emisji na terenie Miasta Mława (Dz. Urz. Woj. Mazowieckiego z 2018 r., poz. 8270)</w:t>
      </w:r>
      <w:r w:rsidR="00A34769">
        <w:t>.</w:t>
      </w:r>
    </w:p>
    <w:p w:rsidR="003E1826" w:rsidRDefault="003E1826" w:rsidP="003E1826">
      <w:pPr>
        <w:rPr>
          <w:rFonts w:cs="TimesNewRomanPSMT"/>
          <w:szCs w:val="24"/>
        </w:rPr>
      </w:pPr>
      <w:r>
        <w:rPr>
          <w:rFonts w:cs="TimesNewRomanPSMT"/>
          <w:szCs w:val="24"/>
        </w:rPr>
        <w:t>Dotacji celowej udziela się na pisemny wniosek, po zawarciu umowy pomiędzy Miastem Mława a wnioskodawcami.</w:t>
      </w:r>
    </w:p>
    <w:p w:rsidR="003E1826" w:rsidRDefault="003E1826" w:rsidP="003E1826">
      <w:pPr>
        <w:rPr>
          <w:rFonts w:cs="TimesNewRomanPSMT"/>
          <w:szCs w:val="24"/>
        </w:rPr>
      </w:pPr>
      <w:r>
        <w:rPr>
          <w:rFonts w:cs="TimesNewRomanPSMT"/>
          <w:szCs w:val="24"/>
        </w:rPr>
        <w:t>Dotacja może być przeznaczona na:</w:t>
      </w:r>
    </w:p>
    <w:p w:rsidR="003E1826" w:rsidRDefault="003E1826" w:rsidP="003E1826">
      <w:pPr>
        <w:pStyle w:val="Akapitzlist"/>
        <w:numPr>
          <w:ilvl w:val="0"/>
          <w:numId w:val="55"/>
        </w:numPr>
        <w:rPr>
          <w:rFonts w:cs="TimesNewRomanPSMT"/>
          <w:szCs w:val="24"/>
        </w:rPr>
      </w:pPr>
      <w:r>
        <w:rPr>
          <w:rFonts w:cs="TimesNewRomanPSMT"/>
          <w:szCs w:val="24"/>
        </w:rPr>
        <w:t>wymianę pieca zasilanego paliwem stałym na piec centralnego ogrzewania zasilany gazem lub olejem opałowym,</w:t>
      </w:r>
    </w:p>
    <w:p w:rsidR="003E1826" w:rsidRDefault="003E1826" w:rsidP="003E1826">
      <w:pPr>
        <w:pStyle w:val="Akapitzlist"/>
        <w:numPr>
          <w:ilvl w:val="0"/>
          <w:numId w:val="55"/>
        </w:numPr>
        <w:rPr>
          <w:rFonts w:cs="TimesNewRomanPSMT"/>
          <w:szCs w:val="24"/>
        </w:rPr>
      </w:pPr>
      <w:r>
        <w:rPr>
          <w:rFonts w:cs="TimesNewRomanPSMT"/>
          <w:szCs w:val="24"/>
        </w:rPr>
        <w:t>wymianę pieca zasilanego paliwem stałym na ogrzewacze pomieszczeń z pompą ciepła lub niskotemperaturową pompę ciepła, dla których źródłem ciepła jest grunt lub podobne źródło,</w:t>
      </w:r>
    </w:p>
    <w:p w:rsidR="003E1826" w:rsidRDefault="003E1826" w:rsidP="003E1826">
      <w:pPr>
        <w:pStyle w:val="Akapitzlist"/>
        <w:numPr>
          <w:ilvl w:val="0"/>
          <w:numId w:val="55"/>
        </w:numPr>
        <w:rPr>
          <w:rFonts w:cs="TimesNewRomanPSMT"/>
          <w:szCs w:val="24"/>
        </w:rPr>
      </w:pPr>
      <w:r>
        <w:rPr>
          <w:rFonts w:cs="TimesNewRomanPSMT"/>
          <w:szCs w:val="24"/>
        </w:rPr>
        <w:t>budowę przyłącza gazowego w przypadku wymiany pieca zasilanego paliwem stałym na piec centralnego ogrzewania zasilany gazem.</w:t>
      </w:r>
    </w:p>
    <w:p w:rsidR="003E1826" w:rsidRPr="00A939BD" w:rsidRDefault="003E1826" w:rsidP="003E1826">
      <w:pPr>
        <w:rPr>
          <w:rFonts w:cs="TimesNewRomanPSMT"/>
          <w:szCs w:val="24"/>
        </w:rPr>
      </w:pPr>
      <w:r w:rsidRPr="00A939BD">
        <w:rPr>
          <w:rFonts w:cs="TimesNewRomanPSMT"/>
          <w:szCs w:val="24"/>
        </w:rPr>
        <w:t>Wysokość udzielonej dotacji celowej w roku budżetowym może wynieść:</w:t>
      </w:r>
    </w:p>
    <w:p w:rsidR="003E1826" w:rsidRPr="00395D55" w:rsidRDefault="003E1826" w:rsidP="003E1826">
      <w:pPr>
        <w:pStyle w:val="Akapitzlist"/>
        <w:numPr>
          <w:ilvl w:val="0"/>
          <w:numId w:val="37"/>
        </w:numPr>
        <w:rPr>
          <w:rFonts w:cs="TimesNewRomanPSMT"/>
          <w:szCs w:val="24"/>
        </w:rPr>
      </w:pPr>
      <w:r w:rsidRPr="00395D55">
        <w:rPr>
          <w:rFonts w:cs="TimesNewRomanPSMT"/>
          <w:szCs w:val="24"/>
        </w:rPr>
        <w:t>co najwyżej 6 000,00 zł jednakże nie więcej niż 100% poniesionych kosztów na zakup nowego pieca centralnego ogrzewania,</w:t>
      </w:r>
    </w:p>
    <w:p w:rsidR="003E1826" w:rsidRPr="00395D55" w:rsidRDefault="003E1826" w:rsidP="003E1826">
      <w:pPr>
        <w:pStyle w:val="Akapitzlist"/>
        <w:numPr>
          <w:ilvl w:val="0"/>
          <w:numId w:val="37"/>
        </w:numPr>
        <w:rPr>
          <w:rFonts w:cs="TimesNewRomanPSMT"/>
          <w:szCs w:val="24"/>
        </w:rPr>
      </w:pPr>
      <w:r w:rsidRPr="00395D55">
        <w:rPr>
          <w:rFonts w:cs="TimesNewRomanPSMT"/>
          <w:szCs w:val="24"/>
        </w:rPr>
        <w:lastRenderedPageBreak/>
        <w:t>co najwyżej 10 000,00 zł jednakże nie więcej niż 100% poniesionych kosztów na zakup ogrzewacza pomieszczeń z pompą ciepła albo  niskotemperaturowej pompy ciepła, dla których źródłem ciepła jest grunt lub podobne źródło,</w:t>
      </w:r>
    </w:p>
    <w:p w:rsidR="003E1826" w:rsidRDefault="003E1826" w:rsidP="003E1826">
      <w:pPr>
        <w:pStyle w:val="Akapitzlist"/>
        <w:numPr>
          <w:ilvl w:val="0"/>
          <w:numId w:val="37"/>
        </w:numPr>
        <w:rPr>
          <w:rFonts w:cs="TimesNewRomanPSMT"/>
          <w:szCs w:val="24"/>
        </w:rPr>
      </w:pPr>
      <w:r w:rsidRPr="00395D55">
        <w:rPr>
          <w:rFonts w:cs="TimesNewRomanPSMT"/>
          <w:szCs w:val="24"/>
        </w:rPr>
        <w:t>1 900,00zł za przyłączenie do sieci dystrybucyjnej gazu ziemnego nieruchomości, która nie była podłączona do sieci gazowej, przy jednoczesnej wymianie pieca na paliwo stałe na piec gazowy.</w:t>
      </w:r>
    </w:p>
    <w:p w:rsidR="003E1826" w:rsidRPr="006235FA" w:rsidRDefault="003E1826" w:rsidP="003E1826">
      <w:pPr>
        <w:rPr>
          <w:rFonts w:cs="TimesNewRomanPSMT"/>
          <w:szCs w:val="24"/>
        </w:rPr>
      </w:pPr>
      <w:r w:rsidRPr="006235FA">
        <w:rPr>
          <w:rFonts w:cs="TimesNewRomanPSMT"/>
          <w:szCs w:val="24"/>
        </w:rPr>
        <w:t>Udzielenie dotacji na budowę przyłącza gazowego jest możliwe jedynie łącznie z udzieleniem dotacji na wymianę pieca centralnego ogrzewania zasilanego paliwem stałym na piec centralnego ogrzewania zasilany gazem.</w:t>
      </w:r>
    </w:p>
    <w:p w:rsidR="003E1826" w:rsidRDefault="003E1826" w:rsidP="003E1826">
      <w:pPr>
        <w:rPr>
          <w:rFonts w:cs="TimesNewRomanPSMT"/>
          <w:szCs w:val="24"/>
        </w:rPr>
      </w:pPr>
      <w:r>
        <w:rPr>
          <w:rFonts w:cs="TimesNewRomanPSMT"/>
          <w:szCs w:val="24"/>
        </w:rPr>
        <w:t>Beneficjentami Programu mogą być:</w:t>
      </w:r>
    </w:p>
    <w:p w:rsidR="003E1826" w:rsidRDefault="003E1826" w:rsidP="003E1826">
      <w:pPr>
        <w:pStyle w:val="Akapitzlist"/>
        <w:numPr>
          <w:ilvl w:val="0"/>
          <w:numId w:val="56"/>
        </w:numPr>
        <w:rPr>
          <w:rFonts w:cs="TimesNewRomanPSMT"/>
          <w:szCs w:val="24"/>
        </w:rPr>
      </w:pPr>
      <w:r>
        <w:rPr>
          <w:rFonts w:cs="TimesNewRomanPSMT"/>
          <w:szCs w:val="24"/>
        </w:rPr>
        <w:t>właściciele/zarządzający nieruchomości prywatne,</w:t>
      </w:r>
    </w:p>
    <w:p w:rsidR="003E1826" w:rsidRDefault="003E1826" w:rsidP="003E1826">
      <w:pPr>
        <w:pStyle w:val="Akapitzlist"/>
        <w:numPr>
          <w:ilvl w:val="0"/>
          <w:numId w:val="56"/>
        </w:numPr>
        <w:rPr>
          <w:rFonts w:cs="TimesNewRomanPSMT"/>
          <w:szCs w:val="24"/>
        </w:rPr>
      </w:pPr>
      <w:r>
        <w:rPr>
          <w:rFonts w:cs="TimesNewRomanPSMT"/>
          <w:szCs w:val="24"/>
        </w:rPr>
        <w:t>właściciele/zarządzający nieruchomości komunalne,</w:t>
      </w:r>
    </w:p>
    <w:p w:rsidR="003E1826" w:rsidRDefault="003E1826" w:rsidP="003E1826">
      <w:pPr>
        <w:pStyle w:val="Akapitzlist"/>
        <w:numPr>
          <w:ilvl w:val="0"/>
          <w:numId w:val="56"/>
        </w:numPr>
        <w:rPr>
          <w:rFonts w:cs="TimesNewRomanPSMT"/>
          <w:szCs w:val="24"/>
        </w:rPr>
      </w:pPr>
      <w:r>
        <w:rPr>
          <w:rFonts w:cs="TimesNewRomanPSMT"/>
          <w:szCs w:val="24"/>
        </w:rPr>
        <w:t>właściciele/zarządzający nieruchomości publiczne,</w:t>
      </w:r>
    </w:p>
    <w:p w:rsidR="003E1826" w:rsidRDefault="003E1826" w:rsidP="003E1826">
      <w:pPr>
        <w:pStyle w:val="Akapitzlist"/>
        <w:numPr>
          <w:ilvl w:val="0"/>
          <w:numId w:val="56"/>
        </w:numPr>
        <w:rPr>
          <w:rFonts w:cs="TimesNewRomanPSMT"/>
          <w:szCs w:val="24"/>
        </w:rPr>
      </w:pPr>
      <w:r>
        <w:rPr>
          <w:rFonts w:cs="TimesNewRomanPSMT"/>
          <w:szCs w:val="24"/>
        </w:rPr>
        <w:t>właściciele/zarządzający nieruchomości – przedsiębiorcy.</w:t>
      </w:r>
    </w:p>
    <w:p w:rsidR="003E1826" w:rsidRDefault="003E1826" w:rsidP="003E1826">
      <w:pPr>
        <w:rPr>
          <w:rFonts w:cs="TimesNewRomanPSMT"/>
          <w:szCs w:val="24"/>
        </w:rPr>
      </w:pPr>
      <w:r>
        <w:rPr>
          <w:rFonts w:cs="TimesNewRomanPSMT"/>
          <w:szCs w:val="24"/>
        </w:rPr>
        <w:t>Kryteriami wyboru inwestycji są:</w:t>
      </w:r>
    </w:p>
    <w:p w:rsidR="003E1826" w:rsidRDefault="003E1826" w:rsidP="003E1826">
      <w:pPr>
        <w:pStyle w:val="Akapitzlist"/>
        <w:numPr>
          <w:ilvl w:val="0"/>
          <w:numId w:val="57"/>
        </w:numPr>
        <w:rPr>
          <w:rFonts w:cs="TimesNewRomanPSMT"/>
          <w:szCs w:val="24"/>
        </w:rPr>
      </w:pPr>
      <w:r>
        <w:rPr>
          <w:rFonts w:cs="TimesNewRomanPSMT"/>
          <w:szCs w:val="24"/>
        </w:rPr>
        <w:t>nieruchomość, której dotyczy modernizacja źródła ciepła jest położona na terenie Miasta Mława,</w:t>
      </w:r>
    </w:p>
    <w:p w:rsidR="003E1826" w:rsidRDefault="003E1826" w:rsidP="003E1826">
      <w:pPr>
        <w:pStyle w:val="Akapitzlist"/>
        <w:numPr>
          <w:ilvl w:val="0"/>
          <w:numId w:val="57"/>
        </w:numPr>
        <w:rPr>
          <w:rFonts w:cs="TimesNewRomanPSMT"/>
          <w:szCs w:val="24"/>
        </w:rPr>
      </w:pPr>
      <w:r>
        <w:rPr>
          <w:rFonts w:cs="TimesNewRomanPSMT"/>
          <w:szCs w:val="24"/>
        </w:rPr>
        <w:t xml:space="preserve">wnioskodawcami są podmioty i jednostki, o których mowa w art. 403 ust. 4 ustawy </w:t>
      </w:r>
      <w:r>
        <w:rPr>
          <w:rFonts w:cs="TimesNewRomanPSMT"/>
          <w:szCs w:val="24"/>
        </w:rPr>
        <w:br/>
        <w:t>z dnia 27 kwietnia 2001 r. Prawo ochrony środowiska (Dz. U. z 2018 r. poz.799 z późn. zm.),</w:t>
      </w:r>
    </w:p>
    <w:p w:rsidR="003E1826" w:rsidRDefault="003E1826" w:rsidP="003E1826">
      <w:pPr>
        <w:pStyle w:val="Akapitzlist"/>
        <w:numPr>
          <w:ilvl w:val="0"/>
          <w:numId w:val="57"/>
        </w:numPr>
        <w:rPr>
          <w:rFonts w:cs="TimesNewRomanPSMT"/>
          <w:szCs w:val="24"/>
        </w:rPr>
      </w:pPr>
      <w:r>
        <w:rPr>
          <w:rFonts w:cs="TimesNewRomanPSMT"/>
          <w:szCs w:val="24"/>
        </w:rPr>
        <w:t xml:space="preserve">nieruchomość jest ogrzewana źródłem ciepła na paliwo stałe. </w:t>
      </w:r>
    </w:p>
    <w:p w:rsidR="003E1826" w:rsidRDefault="003E1826" w:rsidP="003E1826">
      <w:pPr>
        <w:rPr>
          <w:rFonts w:cs="TimesNewRomanPSMT"/>
          <w:szCs w:val="24"/>
        </w:rPr>
      </w:pPr>
      <w:r>
        <w:rPr>
          <w:rFonts w:cs="TimesNewRomanPSMT"/>
          <w:szCs w:val="24"/>
        </w:rPr>
        <w:t>Warunki techniczne jakie muszą spełniać modernizowane urządzenia lub instalacje:</w:t>
      </w:r>
    </w:p>
    <w:p w:rsidR="003E1826" w:rsidRDefault="003E1826" w:rsidP="003E1826">
      <w:pPr>
        <w:rPr>
          <w:rFonts w:cs="TimesNewRomanPSMT"/>
          <w:szCs w:val="24"/>
        </w:rPr>
      </w:pPr>
      <w:r>
        <w:rPr>
          <w:rFonts w:cs="TimesNewRomanPSMT"/>
          <w:szCs w:val="24"/>
        </w:rPr>
        <w:t>1) montowane urządzenia są fabrycznie nowe i muszą posiadać co najmniej dwuletnią gwarancję,</w:t>
      </w:r>
    </w:p>
    <w:p w:rsidR="003E1826" w:rsidRDefault="003E1826" w:rsidP="003E1826">
      <w:pPr>
        <w:rPr>
          <w:rFonts w:cs="TimesNewRomanPSMT"/>
          <w:szCs w:val="24"/>
        </w:rPr>
      </w:pPr>
      <w:r>
        <w:rPr>
          <w:rFonts w:cs="TimesNewRomanPSMT"/>
          <w:szCs w:val="24"/>
        </w:rPr>
        <w:t xml:space="preserve">2) wszystkie źródła ciepła na paliwa stałe na terenie danej nieruchomości są zdemontowane </w:t>
      </w:r>
      <w:r>
        <w:rPr>
          <w:rFonts w:cs="TimesNewRomanPSMT"/>
          <w:szCs w:val="24"/>
        </w:rPr>
        <w:br/>
        <w:t>w sposób trwały, uniemożliwiający ich ponowne podłączenie,</w:t>
      </w:r>
    </w:p>
    <w:p w:rsidR="003E1826" w:rsidRDefault="003E1826" w:rsidP="003E1826">
      <w:pPr>
        <w:rPr>
          <w:rFonts w:cs="TimesNewRomanPSMT"/>
          <w:szCs w:val="24"/>
        </w:rPr>
      </w:pPr>
      <w:r>
        <w:rPr>
          <w:rFonts w:cs="TimesNewRomanPSMT"/>
          <w:szCs w:val="24"/>
        </w:rPr>
        <w:t>3) piece musza posiadać klasę sezonowej efektywności energetycznej ogrzewania pomieszczeń A lub lepszą,</w:t>
      </w:r>
    </w:p>
    <w:p w:rsidR="003E1826" w:rsidRDefault="003E1826" w:rsidP="003E1826">
      <w:pPr>
        <w:rPr>
          <w:rFonts w:cs="TimesNewRomanPSMT"/>
          <w:szCs w:val="24"/>
        </w:rPr>
      </w:pPr>
      <w:r>
        <w:rPr>
          <w:rFonts w:cs="TimesNewRomanPSMT"/>
          <w:szCs w:val="24"/>
        </w:rPr>
        <w:lastRenderedPageBreak/>
        <w:t>4) ogrzewacze pomieszczeń z pompą ciepła lub niskotemperaturową pompę ciepła, muszą posiadać klasę sezonowej efektywności energetycznej ogrzewania pomieszczeń A+ lub lepszą,</w:t>
      </w:r>
    </w:p>
    <w:p w:rsidR="003E1826" w:rsidRDefault="003E1826" w:rsidP="003E1826">
      <w:pPr>
        <w:rPr>
          <w:rFonts w:cs="TimesNewRomanPSMT"/>
          <w:szCs w:val="24"/>
        </w:rPr>
      </w:pPr>
      <w:r>
        <w:rPr>
          <w:rFonts w:cs="TimesNewRomanPSMT"/>
          <w:szCs w:val="24"/>
        </w:rPr>
        <w:t>5) nowe źródła ciepła mogą służyć także do wytwarzania ciepłej wody użytkowej, to muszą posiadać klasę energetyczną podgrzewania wody A lub lepszą.</w:t>
      </w:r>
    </w:p>
    <w:p w:rsidR="003E1826" w:rsidRDefault="003E1826" w:rsidP="003E1826">
      <w:r>
        <w:t>W celu rozliczenia dotacji celowej wnioskodawcy, z którymi została zawarta umowa na udzielenie dotacji, po wykonaniu przez wnioskodawców prac związanych z modernizacją źródła ciepła są zobowiązani złożyć:</w:t>
      </w:r>
    </w:p>
    <w:p w:rsidR="003E1826" w:rsidRDefault="003E1826" w:rsidP="003E1826">
      <w:r>
        <w:t>a) wniosek o wypłatę dotacji,</w:t>
      </w:r>
    </w:p>
    <w:p w:rsidR="003E1826" w:rsidRDefault="003E1826" w:rsidP="003E1826">
      <w:r>
        <w:t>b) faktury VAT na zakup nowego źródła ciepła wystawione na wnioskodawcę potwierdzające poniesione wydatki (kopia potwierdzona za zgodność z oryginałem przez wnioskodawcę oraz oryginał do wglądu),</w:t>
      </w:r>
    </w:p>
    <w:p w:rsidR="003E1826" w:rsidRDefault="003E1826" w:rsidP="003E1826">
      <w:r>
        <w:t xml:space="preserve">c) protokół demontażu pieca na paliwo stałe sporządzony pomiędzy wnioskodawcą </w:t>
      </w:r>
      <w:r>
        <w:br/>
        <w:t>a wykonawcą robót,</w:t>
      </w:r>
    </w:p>
    <w:p w:rsidR="003E1826" w:rsidRDefault="003E1826" w:rsidP="003E1826">
      <w:r>
        <w:t xml:space="preserve">d) protokół odbioru instalacji nowego źródła ciepła sporządzony pomiędzy wnioskodawcą </w:t>
      </w:r>
      <w:r>
        <w:br/>
        <w:t>a wykonawcą robót,</w:t>
      </w:r>
    </w:p>
    <w:p w:rsidR="003E1826" w:rsidRDefault="003E1826" w:rsidP="003E1826">
      <w:r>
        <w:t xml:space="preserve">e) dokumenty techniczne potwierdzające zgodność parametrów nowego źródła ciepła </w:t>
      </w:r>
      <w:r>
        <w:br/>
        <w:t>z niniejszymi zasadami (certyfikat lub aprobatę techniczną, potwierdzającą zgodność zakupionych urządzeń z obowiązującymi normami).</w:t>
      </w:r>
    </w:p>
    <w:p w:rsidR="003E1826" w:rsidRDefault="003E1826" w:rsidP="006235FA">
      <w:pPr>
        <w:rPr>
          <w:rFonts w:cs="Calibri Light"/>
          <w:szCs w:val="24"/>
        </w:rPr>
      </w:pPr>
      <w:r w:rsidRPr="003E1826">
        <w:rPr>
          <w:rFonts w:cs="Calibri Light"/>
          <w:szCs w:val="24"/>
        </w:rPr>
        <w:t xml:space="preserve">Wnioski rozpatruje Burmistrz Miasta Mława w kolejności ich złożenia, do wyczerpania środków finansowych przeznaczonych na ten cel w budżecie Miasta Mława, nie dłużej niż do 30 listopada każdego roku. Po rozpatrzeniu wniosku Burmistrz pisemnie zawiadamia wnioskodawcę </w:t>
      </w:r>
      <w:r>
        <w:rPr>
          <w:rFonts w:cs="Calibri Light"/>
          <w:szCs w:val="24"/>
        </w:rPr>
        <w:br/>
      </w:r>
      <w:r w:rsidRPr="003E1826">
        <w:rPr>
          <w:rFonts w:cs="Calibri Light"/>
          <w:szCs w:val="24"/>
        </w:rPr>
        <w:t>o terminie podpisania umowy o udzieleniu dotacji celowej.</w:t>
      </w:r>
    </w:p>
    <w:p w:rsidR="00566DB4" w:rsidRDefault="00566DB4" w:rsidP="006235FA">
      <w:pPr>
        <w:rPr>
          <w:rFonts w:cs="Calibri Light"/>
          <w:szCs w:val="24"/>
        </w:rPr>
      </w:pPr>
    </w:p>
    <w:p w:rsidR="00566DB4" w:rsidRDefault="00566DB4" w:rsidP="006235FA">
      <w:pPr>
        <w:rPr>
          <w:rFonts w:cs="Calibri Light"/>
          <w:szCs w:val="24"/>
        </w:rPr>
      </w:pPr>
    </w:p>
    <w:p w:rsidR="00566DB4" w:rsidRPr="003E1826" w:rsidRDefault="00566DB4" w:rsidP="006235FA">
      <w:pPr>
        <w:rPr>
          <w:rFonts w:cs="Calibri Light"/>
          <w:szCs w:val="24"/>
        </w:rPr>
      </w:pPr>
    </w:p>
    <w:p w:rsidR="0027161A" w:rsidRPr="00395D55" w:rsidRDefault="00B70A8F" w:rsidP="0027161A">
      <w:pPr>
        <w:pStyle w:val="Styl2"/>
      </w:pPr>
      <w:bookmarkStart w:id="245" w:name="_Toc535233362"/>
      <w:r>
        <w:lastRenderedPageBreak/>
        <w:t>8</w:t>
      </w:r>
      <w:r w:rsidR="0027161A">
        <w:t>.</w:t>
      </w:r>
      <w:r>
        <w:t>2</w:t>
      </w:r>
      <w:r w:rsidR="0027161A">
        <w:t xml:space="preserve"> Środki zewnętrzne</w:t>
      </w:r>
      <w:bookmarkEnd w:id="245"/>
    </w:p>
    <w:p w:rsidR="006235FA" w:rsidRPr="00717B75" w:rsidRDefault="006235FA" w:rsidP="006235FA">
      <w:pPr>
        <w:rPr>
          <w:b/>
        </w:rPr>
      </w:pPr>
      <w:r w:rsidRPr="00717B75">
        <w:rPr>
          <w:b/>
        </w:rPr>
        <w:t>Wojewódzki Fundusz Ochrony Środowiska i Gospodarki Wodnej w Warszawie (WFOŚiGW)Program „Czyste Powietrze”</w:t>
      </w:r>
    </w:p>
    <w:p w:rsidR="006235FA" w:rsidRPr="000E19C2" w:rsidRDefault="006235FA" w:rsidP="006235FA">
      <w:r w:rsidRPr="000E19C2">
        <w:t>Zgodnie z Porozumieniem z dnia  7 czerwca 2018 r. w sprawie realizacji Programu Priorytetowego „Czyste Powietrze”, Wojewódzki Fundusz Ochrony Środowiska i Gospodarki Wodnej w Warszawie w ramach powyższego działania udziela dofinansowani</w:t>
      </w:r>
      <w:r>
        <w:t>a</w:t>
      </w:r>
      <w:r w:rsidRPr="000E19C2">
        <w:t xml:space="preserve"> w formie bezzwrotnych dotacji oraz pożyczek. Celem Programu jest poprawa efektywności energetycznej, zmniejszenie emisji pyłów i innych zanieczyszczeń do atmosfery.</w:t>
      </w:r>
    </w:p>
    <w:p w:rsidR="006235FA" w:rsidRDefault="006235FA" w:rsidP="006235FA">
      <w:r w:rsidRPr="000E19C2">
        <w:t xml:space="preserve">Oferta skierowana </w:t>
      </w:r>
      <w:r>
        <w:t>jest</w:t>
      </w:r>
      <w:r w:rsidRPr="000E19C2">
        <w:t xml:space="preserve"> do osób fizycznych posiadających prawo własności lub będących współwłaścicielami jednorodzinnego budynku mieszkalnego lub osób, które uzyskały zgodę na</w:t>
      </w:r>
      <w:r>
        <w:t> </w:t>
      </w:r>
      <w:r w:rsidRPr="000E19C2">
        <w:t>rozpoczęcie budowy jednorodzinnego budynku mieszkalnego.</w:t>
      </w:r>
    </w:p>
    <w:p w:rsidR="006235FA" w:rsidRDefault="006235FA" w:rsidP="006235FA">
      <w:r w:rsidRPr="000E19C2">
        <w:t xml:space="preserve">W ramach Programu zostanie dofinansowana wymiana źródeł ciepła starej generacji opalanych paliwem stałym na: </w:t>
      </w:r>
    </w:p>
    <w:p w:rsidR="006235FA" w:rsidRPr="00AF7C59" w:rsidRDefault="006235FA" w:rsidP="00AA7DC0">
      <w:pPr>
        <w:pStyle w:val="Akapitzlist"/>
        <w:numPr>
          <w:ilvl w:val="0"/>
          <w:numId w:val="40"/>
        </w:numPr>
        <w:spacing w:before="0" w:after="160"/>
      </w:pPr>
      <w:r w:rsidRPr="00AF7C59">
        <w:t xml:space="preserve">węzły cieplne, </w:t>
      </w:r>
    </w:p>
    <w:p w:rsidR="006235FA" w:rsidRPr="00AF7C59" w:rsidRDefault="006235FA" w:rsidP="00AA7DC0">
      <w:pPr>
        <w:pStyle w:val="Akapitzlist"/>
        <w:numPr>
          <w:ilvl w:val="0"/>
          <w:numId w:val="40"/>
        </w:numPr>
        <w:spacing w:before="0" w:after="160"/>
      </w:pPr>
      <w:r w:rsidRPr="00AF7C59">
        <w:t xml:space="preserve">kotły na paliwo stałe (spełniające założenia Programu), </w:t>
      </w:r>
    </w:p>
    <w:p w:rsidR="006235FA" w:rsidRPr="00AF7C59" w:rsidRDefault="006235FA" w:rsidP="00AA7DC0">
      <w:pPr>
        <w:pStyle w:val="Akapitzlist"/>
        <w:numPr>
          <w:ilvl w:val="0"/>
          <w:numId w:val="40"/>
        </w:numPr>
        <w:spacing w:before="0" w:after="160"/>
      </w:pPr>
      <w:r w:rsidRPr="00AF7C59">
        <w:t xml:space="preserve">systemy ogrzewania elektrycznego, </w:t>
      </w:r>
    </w:p>
    <w:p w:rsidR="006235FA" w:rsidRPr="00AF7C59" w:rsidRDefault="006235FA" w:rsidP="00AA7DC0">
      <w:pPr>
        <w:pStyle w:val="Akapitzlist"/>
        <w:numPr>
          <w:ilvl w:val="0"/>
          <w:numId w:val="40"/>
        </w:numPr>
        <w:spacing w:before="0" w:after="160"/>
      </w:pPr>
      <w:r w:rsidRPr="00AF7C59">
        <w:t>kotły gazowe kondensacyjne</w:t>
      </w:r>
      <w:r>
        <w:t>,</w:t>
      </w:r>
    </w:p>
    <w:p w:rsidR="006235FA" w:rsidRPr="00AF7C59" w:rsidRDefault="006235FA" w:rsidP="00AA7DC0">
      <w:pPr>
        <w:pStyle w:val="Akapitzlist"/>
        <w:numPr>
          <w:ilvl w:val="0"/>
          <w:numId w:val="40"/>
        </w:numPr>
        <w:spacing w:before="0" w:after="160"/>
      </w:pPr>
      <w:r w:rsidRPr="00AF7C59">
        <w:t xml:space="preserve">pompy ciepła. </w:t>
      </w:r>
    </w:p>
    <w:p w:rsidR="006235FA" w:rsidRPr="000E19C2" w:rsidRDefault="006235FA" w:rsidP="006235FA">
      <w:r w:rsidRPr="000E19C2">
        <w:t xml:space="preserve">Dofinansowywane będą również prace termomodernizacyjne polegające m.in. na dociepleniu przegród zewnętrznych/wewnętrznych budynku oraz wymianie/montażu stolarki zewnętrznej.Intensywność wsparcia dotacyjnego uzależniona będzie od kwoty miesięcznego dochodu przypadającego na 1 osobę w gospodarstwie domowym. Minimalna wartość kosztów kwalifikowanych przedsięwzięcia wynosić będzie </w:t>
      </w:r>
      <w:r w:rsidRPr="00A023EA">
        <w:rPr>
          <w:b/>
          <w:bCs/>
        </w:rPr>
        <w:t>7</w:t>
      </w:r>
      <w:r>
        <w:rPr>
          <w:b/>
          <w:bCs/>
        </w:rPr>
        <w:t>000</w:t>
      </w:r>
      <w:r w:rsidRPr="00A023EA">
        <w:rPr>
          <w:b/>
          <w:bCs/>
        </w:rPr>
        <w:t xml:space="preserve"> zł</w:t>
      </w:r>
      <w:r w:rsidRPr="000E19C2">
        <w:t xml:space="preserve">, natomiast  maksymalne koszty kwalifikowane od których liczona będzie dotacja– </w:t>
      </w:r>
      <w:r w:rsidRPr="00A023EA">
        <w:rPr>
          <w:b/>
          <w:bCs/>
        </w:rPr>
        <w:t>53</w:t>
      </w:r>
      <w:r>
        <w:rPr>
          <w:b/>
          <w:bCs/>
        </w:rPr>
        <w:t>000</w:t>
      </w:r>
      <w:r w:rsidRPr="00C934B7">
        <w:t>złotych.</w:t>
      </w:r>
    </w:p>
    <w:p w:rsidR="003E1826" w:rsidRPr="00B70A8F" w:rsidRDefault="006235FA" w:rsidP="006235FA">
      <w:r w:rsidRPr="000E19C2">
        <w:t>W ramach powyższej oferty możliwy będzie również zakup i montaż kolektorów słonecznych oraz mikroinstalacji fotowoltaicznej (wyłącznie w formie pożyczek).</w:t>
      </w:r>
    </w:p>
    <w:p w:rsidR="006235FA" w:rsidRPr="00056023" w:rsidRDefault="006235FA" w:rsidP="006235FA">
      <w:pPr>
        <w:rPr>
          <w:rFonts w:cs="Calibri Light"/>
          <w:color w:val="000000" w:themeColor="text1"/>
        </w:rPr>
      </w:pPr>
      <w:r w:rsidRPr="00056023">
        <w:rPr>
          <w:rFonts w:cs="Calibri Light"/>
          <w:b/>
          <w:color w:val="000000" w:themeColor="text1"/>
        </w:rPr>
        <w:t>Narodowy Fundusz Ochrony Środowiska i Gospodarki Wodnej (NFOŚiGW)</w:t>
      </w:r>
    </w:p>
    <w:p w:rsidR="006235FA" w:rsidRDefault="006235FA" w:rsidP="006235FA">
      <w:pPr>
        <w:rPr>
          <w:rFonts w:cs="Calibri Light"/>
        </w:rPr>
      </w:pPr>
      <w:r w:rsidRPr="00FD135D">
        <w:rPr>
          <w:rFonts w:cs="Calibri Light"/>
        </w:rPr>
        <w:lastRenderedPageBreak/>
        <w:t>Publicznainstytucjafinansowa,działającajakopaństwowaosobaprawna.Głównymcelemdziałania</w:t>
      </w:r>
      <w:r>
        <w:rPr>
          <w:rFonts w:cs="Calibri Light"/>
        </w:rPr>
        <w:t xml:space="preserve"> Funduszu </w:t>
      </w:r>
      <w:r w:rsidRPr="00FD135D">
        <w:rPr>
          <w:rFonts w:cs="Calibri Light"/>
        </w:rPr>
        <w:t>jestudzielaniewsparciafinansowegoprzedsięwzięciomsłużącymochronieśrodowiska</w:t>
      </w:r>
      <w:r>
        <w:rPr>
          <w:rFonts w:cs="Calibri Light"/>
        </w:rPr>
        <w:br/>
      </w:r>
      <w:r w:rsidRPr="00FD135D">
        <w:rPr>
          <w:rFonts w:cs="Calibri Light"/>
        </w:rPr>
        <w:t>igospodarcewodnej.Podstawądoprzyjmowaniairozpatrywaniawnioskówodofinansowaniesąprogramypriorytetowe,któreokreślajązasadyudzielaniawsparciaorazkryteriawyboruprzedsięwzięć.Listę</w:t>
      </w:r>
      <w:r>
        <w:rPr>
          <w:rFonts w:cs="Calibri Light"/>
        </w:rPr>
        <w:t> </w:t>
      </w:r>
      <w:r w:rsidRPr="00FD135D">
        <w:rPr>
          <w:rFonts w:cs="Calibri Light"/>
        </w:rPr>
        <w:t>priorytetowychprogramówNFOŚiGWzatwierdzacorocznieRadaNadzorczaNFOŚiGW.</w:t>
      </w:r>
    </w:p>
    <w:p w:rsidR="005570E9" w:rsidRDefault="005570E9" w:rsidP="005570E9">
      <w:r w:rsidRPr="000A61BA">
        <w:t xml:space="preserve">Narodowy Fundusz Ochrony Środowiska i Gospodarki Wodnej </w:t>
      </w:r>
      <w:r>
        <w:t xml:space="preserve">na początku roku publikuje na swojej stronie internetowej </w:t>
      </w:r>
      <w:r w:rsidRPr="003E7598">
        <w:t>kalendarium naborów</w:t>
      </w:r>
      <w:r>
        <w:t xml:space="preserve"> oraz </w:t>
      </w:r>
      <w:r w:rsidRPr="003E7598">
        <w:t xml:space="preserve">szczegółowe zasady udzielania </w:t>
      </w:r>
      <w:r w:rsidR="003E1826">
        <w:br/>
      </w:r>
      <w:r w:rsidRPr="003E7598">
        <w:t>i rozliczania</w:t>
      </w:r>
      <w:r>
        <w:t>.</w:t>
      </w:r>
    </w:p>
    <w:p w:rsidR="006235FA" w:rsidRDefault="005570E9" w:rsidP="006235FA">
      <w:pPr>
        <w:sectPr w:rsidR="006235FA" w:rsidSect="005570E9">
          <w:pgSz w:w="11906" w:h="16838"/>
          <w:pgMar w:top="1417" w:right="1417" w:bottom="1417" w:left="1417" w:header="454" w:footer="708" w:gutter="0"/>
          <w:cols w:space="708"/>
          <w:titlePg/>
          <w:docGrid w:linePitch="360"/>
        </w:sectPr>
      </w:pPr>
      <w:r>
        <w:t>Przykładowe</w:t>
      </w:r>
      <w:r w:rsidRPr="003E7598">
        <w:t xml:space="preserve"> programy z zakresu ochrony powietrza w 2018 roku zostały przedstawione </w:t>
      </w:r>
      <w:r w:rsidR="003E1826">
        <w:br/>
      </w:r>
      <w:r w:rsidRPr="003E7598">
        <w:t>w poniższej tabeli.</w:t>
      </w:r>
    </w:p>
    <w:p w:rsidR="00B70A8F" w:rsidRDefault="00B70A8F" w:rsidP="00B70A8F">
      <w:pPr>
        <w:pStyle w:val="Legenda"/>
        <w:keepNext/>
      </w:pPr>
      <w:bookmarkStart w:id="246" w:name="_Toc535583572"/>
      <w:r>
        <w:lastRenderedPageBreak/>
        <w:t xml:space="preserve">Tabela </w:t>
      </w:r>
      <w:r w:rsidR="00135E52">
        <w:rPr>
          <w:noProof/>
        </w:rPr>
        <w:fldChar w:fldCharType="begin"/>
      </w:r>
      <w:r w:rsidR="00C13FF9">
        <w:rPr>
          <w:noProof/>
        </w:rPr>
        <w:instrText xml:space="preserve"> SEQ Tabela \* ARABIC </w:instrText>
      </w:r>
      <w:r w:rsidR="00135E52">
        <w:rPr>
          <w:noProof/>
        </w:rPr>
        <w:fldChar w:fldCharType="separate"/>
      </w:r>
      <w:r w:rsidR="00AD136C">
        <w:rPr>
          <w:noProof/>
        </w:rPr>
        <w:t>13</w:t>
      </w:r>
      <w:r w:rsidR="00135E52">
        <w:rPr>
          <w:noProof/>
        </w:rPr>
        <w:fldChar w:fldCharType="end"/>
      </w:r>
      <w:r w:rsidRPr="001F6697">
        <w:t>Planowane programy z zakresu ochrony powietrza w 2018.</w:t>
      </w:r>
      <w:bookmarkEnd w:id="246"/>
    </w:p>
    <w:tbl>
      <w:tblPr>
        <w:tblStyle w:val="GridTable1LightAccent5"/>
        <w:tblW w:w="5154" w:type="pct"/>
        <w:tblLook w:val="04A0"/>
      </w:tblPr>
      <w:tblGrid>
        <w:gridCol w:w="950"/>
        <w:gridCol w:w="5828"/>
        <w:gridCol w:w="2014"/>
        <w:gridCol w:w="5866"/>
      </w:tblGrid>
      <w:tr w:rsidR="005570E9" w:rsidRPr="00A9464D" w:rsidTr="00B70A8F">
        <w:trPr>
          <w:cnfStyle w:val="100000000000"/>
          <w:trHeight w:val="305"/>
        </w:trPr>
        <w:tc>
          <w:tcPr>
            <w:cnfStyle w:val="001000000000"/>
            <w:tcW w:w="324" w:type="pct"/>
            <w:hideMark/>
          </w:tcPr>
          <w:p w:rsidR="005570E9" w:rsidRPr="00A9464D" w:rsidRDefault="005570E9" w:rsidP="00C912AF">
            <w:pPr>
              <w:jc w:val="left"/>
              <w:rPr>
                <w:rFonts w:cs="Calibri Light"/>
                <w:bCs w:val="0"/>
                <w:color w:val="000000"/>
                <w:sz w:val="18"/>
                <w:szCs w:val="18"/>
              </w:rPr>
            </w:pPr>
            <w:r w:rsidRPr="00A9464D">
              <w:rPr>
                <w:rFonts w:cs="Calibri Light"/>
                <w:color w:val="000000"/>
                <w:sz w:val="18"/>
                <w:szCs w:val="18"/>
              </w:rPr>
              <w:t xml:space="preserve">Nr programu </w:t>
            </w:r>
          </w:p>
        </w:tc>
        <w:tc>
          <w:tcPr>
            <w:tcW w:w="1988" w:type="pct"/>
            <w:hideMark/>
          </w:tcPr>
          <w:p w:rsidR="005570E9" w:rsidRPr="00A9464D" w:rsidRDefault="005570E9" w:rsidP="00C912AF">
            <w:pPr>
              <w:jc w:val="left"/>
              <w:cnfStyle w:val="100000000000"/>
              <w:rPr>
                <w:rFonts w:cs="Calibri Light"/>
                <w:bCs w:val="0"/>
                <w:color w:val="000000"/>
                <w:sz w:val="18"/>
                <w:szCs w:val="18"/>
              </w:rPr>
            </w:pPr>
            <w:r w:rsidRPr="00A9464D">
              <w:rPr>
                <w:rFonts w:cs="Calibri Light"/>
                <w:color w:val="000000"/>
                <w:sz w:val="18"/>
                <w:szCs w:val="18"/>
              </w:rPr>
              <w:t>Nazwa programu</w:t>
            </w:r>
          </w:p>
        </w:tc>
        <w:tc>
          <w:tcPr>
            <w:tcW w:w="687" w:type="pct"/>
            <w:hideMark/>
          </w:tcPr>
          <w:p w:rsidR="005570E9" w:rsidRPr="00A9464D" w:rsidRDefault="005570E9" w:rsidP="00C912AF">
            <w:pPr>
              <w:jc w:val="left"/>
              <w:cnfStyle w:val="100000000000"/>
              <w:rPr>
                <w:rFonts w:cs="Calibri Light"/>
                <w:bCs w:val="0"/>
                <w:color w:val="000000"/>
                <w:sz w:val="18"/>
                <w:szCs w:val="18"/>
              </w:rPr>
            </w:pPr>
            <w:r w:rsidRPr="00A9464D">
              <w:rPr>
                <w:rFonts w:cs="Calibri Light"/>
                <w:color w:val="000000"/>
                <w:sz w:val="18"/>
                <w:szCs w:val="18"/>
              </w:rPr>
              <w:t>Nabór rodzaj</w:t>
            </w:r>
          </w:p>
        </w:tc>
        <w:tc>
          <w:tcPr>
            <w:tcW w:w="2001" w:type="pct"/>
          </w:tcPr>
          <w:p w:rsidR="005570E9" w:rsidRPr="00A9464D" w:rsidRDefault="005570E9" w:rsidP="00C912AF">
            <w:pPr>
              <w:jc w:val="left"/>
              <w:cnfStyle w:val="100000000000"/>
              <w:rPr>
                <w:rFonts w:cs="Calibri Light"/>
                <w:bCs w:val="0"/>
                <w:color w:val="000000"/>
                <w:sz w:val="18"/>
                <w:szCs w:val="18"/>
              </w:rPr>
            </w:pPr>
            <w:r w:rsidRPr="00A9464D">
              <w:rPr>
                <w:rFonts w:cs="Calibri Light"/>
                <w:color w:val="000000"/>
                <w:sz w:val="18"/>
                <w:szCs w:val="18"/>
              </w:rPr>
              <w:t>Beneficjenci</w:t>
            </w:r>
          </w:p>
        </w:tc>
      </w:tr>
      <w:tr w:rsidR="005570E9" w:rsidRPr="00A9464D" w:rsidTr="00B70A8F">
        <w:trPr>
          <w:trHeight w:val="606"/>
        </w:trPr>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3.1. część 1</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Ochrona atmosfery Poprawa jakości powietrza</w:t>
            </w:r>
          </w:p>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Część 1) Energetyczne wykorzystanie zasobów geotermalnych</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 (pożyczka)</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Przedsiębiorcy w rozumieniu ustawy z dnia 2 lipca 2004 r. o swobodzie działalności gospodarczej</w:t>
            </w:r>
          </w:p>
        </w:tc>
      </w:tr>
      <w:tr w:rsidR="005570E9" w:rsidRPr="00A9464D" w:rsidTr="00B70A8F">
        <w:trPr>
          <w:trHeight w:val="1758"/>
        </w:trPr>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3.1. część 2</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Ochrona atmosfery Poprawa jakości powietrza</w:t>
            </w:r>
          </w:p>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Część 2) Zmniejszenie zużycia energii w budownictwie</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 (dotacja/ pożyczka)</w:t>
            </w:r>
          </w:p>
        </w:tc>
        <w:tc>
          <w:tcPr>
            <w:tcW w:w="2001" w:type="pct"/>
          </w:tcPr>
          <w:p w:rsidR="005570E9" w:rsidRPr="00A9464D" w:rsidRDefault="005570E9" w:rsidP="00C912AF">
            <w:pPr>
              <w:pStyle w:val="Bezodstpw"/>
              <w:spacing w:line="360" w:lineRule="auto"/>
              <w:cnfStyle w:val="000000000000"/>
              <w:rPr>
                <w:rFonts w:cs="Calibri Light"/>
                <w:color w:val="000000"/>
                <w:sz w:val="18"/>
                <w:szCs w:val="18"/>
              </w:rPr>
            </w:pPr>
            <w:r w:rsidRPr="00A9464D">
              <w:rPr>
                <w:rFonts w:cs="Calibri Light"/>
                <w:color w:val="000000"/>
                <w:sz w:val="18"/>
                <w:szCs w:val="18"/>
              </w:rPr>
              <w:t>- podmioty prowadzące działalność leczniczą w zakresie stacjonarnych i całodobowych świadczeń zdrowotnych,-podmioty prowadzące muzea wpisane do Państwowego Rejestru Muzeów,-podmioty prowadzące domy studenckie</w:t>
            </w:r>
            <w:r>
              <w:rPr>
                <w:rFonts w:cs="Calibri Light"/>
                <w:color w:val="000000"/>
                <w:sz w:val="18"/>
                <w:szCs w:val="18"/>
              </w:rPr>
              <w:t xml:space="preserve">, </w:t>
            </w:r>
            <w:r w:rsidRPr="00A9464D">
              <w:rPr>
                <w:rFonts w:cs="Calibri Light"/>
                <w:color w:val="000000"/>
                <w:sz w:val="18"/>
                <w:szCs w:val="18"/>
              </w:rPr>
              <w:t>- podmioty będące właścicielem budynku wpisanego do Rejestru zabytków,- kościoły, kościelne osoby prawne lub związki wyznaniowe wrozumieniu odrębnych przepisów.</w:t>
            </w:r>
          </w:p>
        </w:tc>
      </w:tr>
      <w:tr w:rsidR="005570E9" w:rsidRPr="00A9464D" w:rsidTr="00B70A8F">
        <w:trPr>
          <w:trHeight w:val="569"/>
        </w:trPr>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3.1. część 4</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 xml:space="preserve">Ochrona atmosfery Poprawa jakości powietrza. </w:t>
            </w:r>
            <w:r w:rsidRPr="00A9464D">
              <w:rPr>
                <w:rFonts w:cs="Calibri Light"/>
                <w:color w:val="000000"/>
                <w:sz w:val="18"/>
                <w:szCs w:val="18"/>
              </w:rPr>
              <w:br/>
              <w:t>Część 4) Samowystarczalność energetyczna</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Program w trakcie przygotowania</w:t>
            </w:r>
          </w:p>
        </w:tc>
      </w:tr>
      <w:tr w:rsidR="005570E9" w:rsidRPr="00A9464D" w:rsidTr="00B70A8F">
        <w:tc>
          <w:tcPr>
            <w:cnfStyle w:val="001000000000"/>
            <w:tcW w:w="324" w:type="pct"/>
            <w:vMerge w:val="restart"/>
          </w:tcPr>
          <w:p w:rsidR="005570E9" w:rsidRPr="00A9464D" w:rsidRDefault="005570E9" w:rsidP="00C912AF">
            <w:pPr>
              <w:jc w:val="left"/>
              <w:rPr>
                <w:rFonts w:cs="Calibri Light"/>
                <w:color w:val="000000"/>
                <w:sz w:val="18"/>
                <w:szCs w:val="18"/>
              </w:rPr>
            </w:pPr>
            <w:r w:rsidRPr="00A9464D">
              <w:rPr>
                <w:rFonts w:cs="Calibri Light"/>
                <w:color w:val="000000"/>
                <w:sz w:val="18"/>
                <w:szCs w:val="18"/>
              </w:rPr>
              <w:t>3.2</w:t>
            </w:r>
          </w:p>
        </w:tc>
        <w:tc>
          <w:tcPr>
            <w:tcW w:w="1988" w:type="pct"/>
            <w:vMerge w:val="restar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Ochrona atmosfery System zielonych inwestycji (GIS – Green Investment Scheme) - GEPARD - Bezemisyjny transport publiczny</w:t>
            </w:r>
          </w:p>
        </w:tc>
        <w:tc>
          <w:tcPr>
            <w:tcW w:w="687"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konkurs (dotacja)</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JST, spółki komunalne i inne podmioty świadczące usługi w zakresie publicznego transportu zbiorowego</w:t>
            </w:r>
          </w:p>
        </w:tc>
      </w:tr>
      <w:tr w:rsidR="005570E9" w:rsidRPr="00A9464D" w:rsidTr="00B70A8F">
        <w:tc>
          <w:tcPr>
            <w:cnfStyle w:val="001000000000"/>
            <w:tcW w:w="324" w:type="pct"/>
            <w:vMerge/>
          </w:tcPr>
          <w:p w:rsidR="005570E9" w:rsidRPr="00A9464D" w:rsidRDefault="005570E9" w:rsidP="00C912AF">
            <w:pPr>
              <w:jc w:val="left"/>
              <w:rPr>
                <w:rFonts w:cs="Calibri Light"/>
                <w:color w:val="000000"/>
                <w:sz w:val="18"/>
                <w:szCs w:val="18"/>
              </w:rPr>
            </w:pPr>
          </w:p>
        </w:tc>
        <w:tc>
          <w:tcPr>
            <w:tcW w:w="1988" w:type="pct"/>
            <w:vMerge/>
          </w:tcPr>
          <w:p w:rsidR="005570E9" w:rsidRPr="00A9464D" w:rsidRDefault="005570E9" w:rsidP="00C912AF">
            <w:pPr>
              <w:jc w:val="left"/>
              <w:cnfStyle w:val="000000000000"/>
              <w:rPr>
                <w:rFonts w:cs="Calibri Light"/>
                <w:color w:val="000000"/>
                <w:sz w:val="18"/>
                <w:szCs w:val="18"/>
              </w:rPr>
            </w:pPr>
          </w:p>
        </w:tc>
        <w:tc>
          <w:tcPr>
            <w:tcW w:w="687"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 xml:space="preserve">ciągły </w:t>
            </w:r>
            <w:r w:rsidRPr="00A9464D">
              <w:rPr>
                <w:rFonts w:cs="Calibri Light"/>
                <w:color w:val="000000"/>
                <w:sz w:val="18"/>
                <w:szCs w:val="18"/>
              </w:rPr>
              <w:br/>
              <w:t>(pożyczka)</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JST, spółki komunalne i inne podmioty świadczące usługi w zakresiepublicznego transportu zbiorowego</w:t>
            </w:r>
          </w:p>
        </w:tc>
      </w:tr>
      <w:tr w:rsidR="005570E9" w:rsidRPr="00A9464D" w:rsidTr="00B70A8F">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3.3</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SOWA – oświetlenie zewnętrze</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 (pożyczka)</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JST oraz spółki z większościowym udziałem JST</w:t>
            </w:r>
          </w:p>
        </w:tc>
      </w:tr>
      <w:tr w:rsidR="005570E9" w:rsidRPr="00A9464D" w:rsidTr="00B70A8F">
        <w:trPr>
          <w:trHeight w:val="931"/>
        </w:trPr>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3.4</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GEPARD II – transport niskoemisyjny</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 (dotacja/</w:t>
            </w:r>
            <w:r w:rsidRPr="00A9464D">
              <w:rPr>
                <w:rFonts w:cs="Calibri Light"/>
                <w:color w:val="000000"/>
                <w:sz w:val="18"/>
                <w:szCs w:val="18"/>
              </w:rPr>
              <w:br/>
              <w:t>pożyczka)</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podmioty (Miasta Partnerskie) będące stroną porozumienia z Narodowym Centrum Badań i Rozwoju w przedmiocie współpracy w ramach programu „Bez emisyjnego Transportu Publicznego”</w:t>
            </w:r>
          </w:p>
        </w:tc>
      </w:tr>
      <w:tr w:rsidR="005570E9" w:rsidRPr="00A9464D" w:rsidTr="00B70A8F">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3.5. część 2</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Ochrona atmosfery Budownictwo energooszczędne</w:t>
            </w:r>
          </w:p>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Cześć 2) Dofinansowanie budowy pasywnych budynków użyteczności publicznej</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konkurs</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Przedstawiciele administracji publicznej, jak również organizacji realizujących zadania publiczne</w:t>
            </w:r>
          </w:p>
        </w:tc>
      </w:tr>
      <w:tr w:rsidR="005570E9" w:rsidRPr="00A9464D" w:rsidTr="00B70A8F">
        <w:trPr>
          <w:trHeight w:val="836"/>
        </w:trPr>
        <w:tc>
          <w:tcPr>
            <w:cnfStyle w:val="001000000000"/>
            <w:tcW w:w="324" w:type="pct"/>
            <w:hideMark/>
          </w:tcPr>
          <w:p w:rsidR="005570E9" w:rsidRPr="00A9464D" w:rsidRDefault="005570E9" w:rsidP="00C912AF">
            <w:pPr>
              <w:jc w:val="left"/>
              <w:rPr>
                <w:rFonts w:cs="Calibri Light"/>
                <w:color w:val="000000"/>
                <w:sz w:val="18"/>
                <w:szCs w:val="18"/>
              </w:rPr>
            </w:pPr>
            <w:r w:rsidRPr="00A9464D">
              <w:rPr>
                <w:rFonts w:cs="Calibri Light"/>
                <w:color w:val="000000"/>
                <w:sz w:val="18"/>
                <w:szCs w:val="18"/>
              </w:rPr>
              <w:t>3.5. część 3</w:t>
            </w:r>
          </w:p>
        </w:tc>
        <w:tc>
          <w:tcPr>
            <w:tcW w:w="1988"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Ochrona atmosfery Budownictwo energooszczędne</w:t>
            </w:r>
          </w:p>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Część 3) PUSZCZYK – Niskoemisyjne budynki użyteczności publicznej</w:t>
            </w:r>
          </w:p>
        </w:tc>
        <w:tc>
          <w:tcPr>
            <w:tcW w:w="687" w:type="pct"/>
            <w:hideMark/>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ciągły</w:t>
            </w:r>
          </w:p>
        </w:tc>
        <w:tc>
          <w:tcPr>
            <w:tcW w:w="2001" w:type="pct"/>
          </w:tcPr>
          <w:p w:rsidR="005570E9" w:rsidRPr="00A9464D" w:rsidRDefault="005570E9" w:rsidP="00C912AF">
            <w:pPr>
              <w:jc w:val="left"/>
              <w:cnfStyle w:val="000000000000"/>
              <w:rPr>
                <w:rFonts w:cs="Calibri Light"/>
                <w:color w:val="000000"/>
                <w:sz w:val="18"/>
                <w:szCs w:val="18"/>
              </w:rPr>
            </w:pPr>
            <w:r w:rsidRPr="00A9464D">
              <w:rPr>
                <w:rFonts w:cs="Calibri Light"/>
                <w:color w:val="000000"/>
                <w:sz w:val="18"/>
                <w:szCs w:val="18"/>
              </w:rPr>
              <w:t>Przedstawiciele administracji publicznej, jak również organizacji realizujących zadania publiczne</w:t>
            </w:r>
          </w:p>
        </w:tc>
      </w:tr>
    </w:tbl>
    <w:p w:rsidR="005570E9" w:rsidRDefault="005570E9" w:rsidP="006235FA">
      <w:pPr>
        <w:sectPr w:rsidR="005570E9" w:rsidSect="007D55DC">
          <w:pgSz w:w="16838" w:h="11906" w:orient="landscape"/>
          <w:pgMar w:top="1417" w:right="1417" w:bottom="1417" w:left="1417" w:header="454" w:footer="708" w:gutter="0"/>
          <w:cols w:space="708"/>
          <w:docGrid w:linePitch="360"/>
        </w:sectPr>
      </w:pPr>
    </w:p>
    <w:p w:rsidR="006235FA" w:rsidRPr="00056023" w:rsidRDefault="006235FA" w:rsidP="006235FA">
      <w:pPr>
        <w:spacing w:before="240"/>
        <w:rPr>
          <w:rFonts w:cs="Calibri Light"/>
          <w:b/>
          <w:color w:val="000000" w:themeColor="text1"/>
        </w:rPr>
      </w:pPr>
      <w:r w:rsidRPr="00056023">
        <w:rPr>
          <w:rFonts w:cs="Calibri Light"/>
          <w:b/>
          <w:color w:val="000000" w:themeColor="text1"/>
        </w:rPr>
        <w:lastRenderedPageBreak/>
        <w:t>Program Operacyjny Infrastruktura i Środowisko</w:t>
      </w:r>
    </w:p>
    <w:p w:rsidR="006235FA" w:rsidRDefault="006235FA" w:rsidP="006235FA">
      <w:pPr>
        <w:rPr>
          <w:rFonts w:cs="Calibri Light"/>
        </w:rPr>
      </w:pPr>
      <w:r w:rsidRPr="00FD135D">
        <w:rPr>
          <w:rFonts w:cs="Calibri Light"/>
        </w:rPr>
        <w:t>Krajowy program wspierający gospodarkę niskoemisyjną, ochronę środowiska, przeciwdziałanie i adaptację do zmian klimatu, transport i bezpieczeństwo energetyczne. Głównym źródłem finansowania Programu są środki unijne z Funduszu Spójności. Najważniejszymi beneficjentami Programu są podmioty publiczne (w tym jst) oraz podmioty prywatne (przede wszystkim duże przedsiębiorstwa).</w:t>
      </w:r>
    </w:p>
    <w:p w:rsidR="006235FA" w:rsidRPr="00581A1C" w:rsidRDefault="006235FA" w:rsidP="006235FA">
      <w:pPr>
        <w:rPr>
          <w:color w:val="000000"/>
        </w:rPr>
      </w:pPr>
      <w:r w:rsidRPr="00581A1C">
        <w:rPr>
          <w:rFonts w:cs="Calibri Light"/>
          <w:color w:val="000000"/>
        </w:rPr>
        <w:t>W ramach POIiŚ możliwe będzie uzyskanie wsparcia finansowego na poprawę efektywności energetycznej w ramach działania</w:t>
      </w:r>
      <w:r w:rsidRPr="00581A1C">
        <w:rPr>
          <w:color w:val="000000"/>
        </w:rPr>
        <w:t xml:space="preserve">  1.5 </w:t>
      </w:r>
      <w:r w:rsidRPr="00581A1C">
        <w:rPr>
          <w:i/>
          <w:color w:val="000000"/>
        </w:rPr>
        <w:t>Efektywna dystrybucja ciepła i chłodu</w:t>
      </w:r>
      <w:r w:rsidRPr="00581A1C">
        <w:rPr>
          <w:color w:val="000000"/>
        </w:rPr>
        <w:t>. Poniżej przedstawiono typy projektów na które można będzie uzyskać dofinansowanie:</w:t>
      </w:r>
    </w:p>
    <w:p w:rsidR="006235FA" w:rsidRPr="00581A1C" w:rsidRDefault="006235FA" w:rsidP="00AA7DC0">
      <w:pPr>
        <w:pStyle w:val="Akapitzlist"/>
        <w:numPr>
          <w:ilvl w:val="0"/>
          <w:numId w:val="45"/>
        </w:numPr>
        <w:spacing w:before="0" w:after="160"/>
        <w:rPr>
          <w:rFonts w:cs="Calibri Light"/>
          <w:color w:val="000000"/>
        </w:rPr>
      </w:pPr>
      <w:r w:rsidRPr="00581A1C">
        <w:rPr>
          <w:color w:val="000000"/>
        </w:rPr>
        <w:t>Przebudowa istniejących systemów ciepłowniczych i sieci chłodu, celem zmniejszenia strat na</w:t>
      </w:r>
      <w:r>
        <w:rPr>
          <w:color w:val="000000"/>
        </w:rPr>
        <w:t> </w:t>
      </w:r>
      <w:r w:rsidRPr="00581A1C">
        <w:rPr>
          <w:color w:val="000000"/>
        </w:rPr>
        <w:t>przesyle i dystrybucji,</w:t>
      </w:r>
    </w:p>
    <w:p w:rsidR="006235FA" w:rsidRPr="00581A1C" w:rsidRDefault="006235FA" w:rsidP="00AA7DC0">
      <w:pPr>
        <w:pStyle w:val="Akapitzlist"/>
        <w:numPr>
          <w:ilvl w:val="0"/>
          <w:numId w:val="45"/>
        </w:numPr>
        <w:spacing w:before="0" w:after="160"/>
        <w:rPr>
          <w:rFonts w:cs="Calibri Light"/>
          <w:color w:val="000000"/>
        </w:rPr>
      </w:pPr>
      <w:r w:rsidRPr="00581A1C">
        <w:rPr>
          <w:color w:val="000000"/>
        </w:rPr>
        <w:t>Budowa przyłączy do istniejących budynków i instalacja węzłów indywidualnych, skutkująca likwidacją węzłów grupowych,</w:t>
      </w:r>
    </w:p>
    <w:p w:rsidR="006235FA" w:rsidRPr="00581A1C" w:rsidRDefault="006235FA" w:rsidP="00AA7DC0">
      <w:pPr>
        <w:pStyle w:val="Akapitzlist"/>
        <w:numPr>
          <w:ilvl w:val="0"/>
          <w:numId w:val="45"/>
        </w:numPr>
        <w:spacing w:before="0" w:after="160"/>
        <w:rPr>
          <w:rFonts w:cs="Calibri Light"/>
          <w:color w:val="000000"/>
        </w:rPr>
      </w:pPr>
      <w:r w:rsidRPr="00581A1C">
        <w:rPr>
          <w:color w:val="000000"/>
        </w:rPr>
        <w:t>Budowa nowych odcinków sieci cieplnej wraz z przyłączami i węzłami ciepłowniczymi, w celu likwidacji istniejących lokalnych źródeł ciepła, opalanych paliwem stałym,</w:t>
      </w:r>
    </w:p>
    <w:p w:rsidR="006235FA" w:rsidRPr="00581A1C" w:rsidRDefault="006235FA" w:rsidP="00AA7DC0">
      <w:pPr>
        <w:pStyle w:val="Akapitzlist"/>
        <w:numPr>
          <w:ilvl w:val="0"/>
          <w:numId w:val="45"/>
        </w:numPr>
        <w:spacing w:before="0" w:after="160"/>
        <w:rPr>
          <w:rFonts w:cs="Calibri Light"/>
          <w:color w:val="000000"/>
        </w:rPr>
      </w:pPr>
      <w:r w:rsidRPr="00581A1C">
        <w:rPr>
          <w:color w:val="000000"/>
        </w:rPr>
        <w:t xml:space="preserve">Podłączenia budynków do sieci ciepłowniczej, mające na celu likwidację indywidualnych </w:t>
      </w:r>
      <w:r w:rsidRPr="00581A1C">
        <w:rPr>
          <w:color w:val="000000"/>
        </w:rPr>
        <w:br/>
        <w:t>i zbiorowych źródeł niskiej emisji.</w:t>
      </w:r>
    </w:p>
    <w:p w:rsidR="006235FA" w:rsidRPr="00581A1C" w:rsidRDefault="006235FA" w:rsidP="006235FA">
      <w:pPr>
        <w:rPr>
          <w:rFonts w:cs="Calibri Light"/>
          <w:color w:val="000000"/>
        </w:rPr>
      </w:pPr>
      <w:r w:rsidRPr="00581A1C">
        <w:rPr>
          <w:rFonts w:cs="Calibri Light"/>
          <w:color w:val="000000"/>
        </w:rPr>
        <w:t>O wsparcie mogą ubiegać się:</w:t>
      </w:r>
    </w:p>
    <w:p w:rsidR="006235FA" w:rsidRPr="00581A1C" w:rsidRDefault="006235FA" w:rsidP="00AA7DC0">
      <w:pPr>
        <w:pStyle w:val="Akapitzlist"/>
        <w:numPr>
          <w:ilvl w:val="0"/>
          <w:numId w:val="44"/>
        </w:numPr>
        <w:spacing w:before="0" w:after="160"/>
        <w:rPr>
          <w:rFonts w:cs="Calibri Light"/>
          <w:color w:val="000000"/>
        </w:rPr>
      </w:pPr>
      <w:r w:rsidRPr="00581A1C">
        <w:rPr>
          <w:rFonts w:cs="Calibri Light"/>
          <w:color w:val="000000"/>
        </w:rPr>
        <w:t>przedsiębiorcy,</w:t>
      </w:r>
    </w:p>
    <w:p w:rsidR="006235FA" w:rsidRPr="00581A1C" w:rsidRDefault="006235FA" w:rsidP="00AA7DC0">
      <w:pPr>
        <w:pStyle w:val="Akapitzlist"/>
        <w:numPr>
          <w:ilvl w:val="0"/>
          <w:numId w:val="44"/>
        </w:numPr>
        <w:spacing w:before="0" w:after="160"/>
        <w:rPr>
          <w:rFonts w:cs="Calibri Light"/>
          <w:color w:val="000000"/>
        </w:rPr>
      </w:pPr>
      <w:r w:rsidRPr="00581A1C">
        <w:rPr>
          <w:rFonts w:cs="Calibri Light"/>
          <w:color w:val="000000"/>
        </w:rPr>
        <w:t>jednostki samorządu terytorialnego oraz działające w ich imieniu jednostki organizacyjne,</w:t>
      </w:r>
    </w:p>
    <w:p w:rsidR="006235FA" w:rsidRPr="00581A1C" w:rsidRDefault="006235FA" w:rsidP="00AA7DC0">
      <w:pPr>
        <w:pStyle w:val="Akapitzlist"/>
        <w:numPr>
          <w:ilvl w:val="0"/>
          <w:numId w:val="44"/>
        </w:numPr>
        <w:spacing w:before="0" w:after="160"/>
        <w:rPr>
          <w:rFonts w:cs="Calibri Light"/>
          <w:color w:val="000000"/>
        </w:rPr>
      </w:pPr>
      <w:r w:rsidRPr="00581A1C">
        <w:rPr>
          <w:rFonts w:cs="Calibri Light"/>
          <w:color w:val="000000"/>
        </w:rPr>
        <w:t>spółdzielnie mieszkaniowe,</w:t>
      </w:r>
    </w:p>
    <w:p w:rsidR="006235FA" w:rsidRPr="00581A1C" w:rsidRDefault="006235FA" w:rsidP="00AA7DC0">
      <w:pPr>
        <w:pStyle w:val="Akapitzlist"/>
        <w:numPr>
          <w:ilvl w:val="0"/>
          <w:numId w:val="44"/>
        </w:numPr>
        <w:spacing w:before="0" w:after="160"/>
        <w:rPr>
          <w:rFonts w:cs="Calibri Light"/>
          <w:color w:val="000000"/>
        </w:rPr>
      </w:pPr>
      <w:r w:rsidRPr="00581A1C">
        <w:rPr>
          <w:rFonts w:cs="Calibri Light"/>
          <w:color w:val="000000"/>
        </w:rPr>
        <w:t>podmioty świadczące usługi publiczne w ramach realizacji obowiązków własnych jednostek samorządu terytorialnego nie będące przedsiębiorcami.</w:t>
      </w:r>
    </w:p>
    <w:p w:rsidR="006235FA" w:rsidRPr="00056023" w:rsidRDefault="006235FA" w:rsidP="006235FA">
      <w:pPr>
        <w:tabs>
          <w:tab w:val="left" w:pos="3375"/>
        </w:tabs>
        <w:rPr>
          <w:rFonts w:cstheme="majorHAnsi"/>
          <w:b/>
          <w:bCs/>
          <w:color w:val="000000" w:themeColor="text1"/>
        </w:rPr>
      </w:pPr>
      <w:r w:rsidRPr="00056023">
        <w:rPr>
          <w:rFonts w:cstheme="majorHAnsi"/>
          <w:b/>
          <w:bCs/>
          <w:color w:val="000000" w:themeColor="text1"/>
        </w:rPr>
        <w:t>Regionalny Program Operacyjny Województwa Mazowieckiego 2014-2020</w:t>
      </w:r>
    </w:p>
    <w:p w:rsidR="006235FA" w:rsidRDefault="006235FA" w:rsidP="006235FA">
      <w:r w:rsidRPr="00FA17B8">
        <w:t>Program zakłada przejście na gospodarkę niskoemisyjną poprzez wykorzystanie odnawialnych źródeł energii i wzrost efektywności energetycznej</w:t>
      </w:r>
      <w:r>
        <w:t>.</w:t>
      </w:r>
    </w:p>
    <w:p w:rsidR="006235FA" w:rsidRDefault="006235FA" w:rsidP="006235FA">
      <w:r>
        <w:lastRenderedPageBreak/>
        <w:t>OŚ PRIORYTETOWA IV – PRZEJŚCIE NA GOSPODARKĘ NISKOEMISYJNĄ</w:t>
      </w:r>
    </w:p>
    <w:p w:rsidR="006235FA" w:rsidRDefault="006235FA" w:rsidP="006235FA">
      <w:r>
        <w:t>Cele szczegółowe:</w:t>
      </w:r>
    </w:p>
    <w:p w:rsidR="006235FA" w:rsidRPr="00555578" w:rsidRDefault="006235FA" w:rsidP="00AA7DC0">
      <w:pPr>
        <w:pStyle w:val="Akapitzlist"/>
        <w:numPr>
          <w:ilvl w:val="0"/>
          <w:numId w:val="43"/>
        </w:numPr>
        <w:spacing w:before="0" w:after="160"/>
      </w:pPr>
      <w:r w:rsidRPr="00555578">
        <w:t>Cel szczegółowy 1:Zwiększenie udziału odnawialnych źródeł energii w ogólnej produkcji energii</w:t>
      </w:r>
      <w:r>
        <w:t>;</w:t>
      </w:r>
    </w:p>
    <w:p w:rsidR="006235FA" w:rsidRPr="00555578" w:rsidRDefault="006235FA" w:rsidP="00AA7DC0">
      <w:pPr>
        <w:pStyle w:val="Akapitzlist"/>
        <w:numPr>
          <w:ilvl w:val="0"/>
          <w:numId w:val="43"/>
        </w:numPr>
        <w:spacing w:before="0" w:after="160"/>
      </w:pPr>
      <w:r w:rsidRPr="00555578">
        <w:t xml:space="preserve">Cel szczegółowy 2: Zwiększona efektywność energetyczna w sektorze publicznym </w:t>
      </w:r>
      <w:r>
        <w:br/>
      </w:r>
      <w:r w:rsidRPr="00555578">
        <w:t>i mieszkaniowym</w:t>
      </w:r>
      <w:r>
        <w:t>;</w:t>
      </w:r>
    </w:p>
    <w:p w:rsidR="006235FA" w:rsidRPr="00555578" w:rsidRDefault="006235FA" w:rsidP="00AA7DC0">
      <w:pPr>
        <w:pStyle w:val="Akapitzlist"/>
        <w:numPr>
          <w:ilvl w:val="0"/>
          <w:numId w:val="43"/>
        </w:numPr>
        <w:spacing w:before="0" w:after="160"/>
      </w:pPr>
      <w:r w:rsidRPr="00555578">
        <w:t>Cel szczegółowy 3: Lepsza jakość powietrza</w:t>
      </w:r>
      <w:r>
        <w:t>.</w:t>
      </w:r>
    </w:p>
    <w:p w:rsidR="006235FA" w:rsidRDefault="006235FA" w:rsidP="006235FA">
      <w:r w:rsidRPr="00555578">
        <w:t>Celem osi jest zmniejszenie emisyjności gospodarki. W ramach działań będzie można ubiegać sięo</w:t>
      </w:r>
      <w:r>
        <w:t> </w:t>
      </w:r>
      <w:r w:rsidRPr="00555578">
        <w:t>wsparciena inwestycje związane z wytwarzaniem energii elektrycznej i cieplnej pochodzącej ze źródeł odnawialnych wrazz budową oraz modernizacją sieci dystrybucyjnych. Zakres wsparcia obejmuje również projekty z zakresukompleksowej termomodernizacji budynków użyteczności publicznej i budynków mieszkalnych</w:t>
      </w:r>
      <w:r>
        <w:t>.</w:t>
      </w:r>
      <w:r w:rsidRPr="00555578">
        <w:t xml:space="preserve"> W ramach Osiwspierane będą także inwestycje z zakresu rozwoju zrównoważonej multimodalnej mobilności miejskiej orazograniczenia niskiej emisji poprzez poprawę efektywności wytwarzania i dystrybucji ciepła.</w:t>
      </w:r>
    </w:p>
    <w:p w:rsidR="006235FA" w:rsidRPr="002B14A7" w:rsidRDefault="006235FA" w:rsidP="006235FA">
      <w:r>
        <w:t>W ramach projektów znajduje się m.in. działanie polegające na ograniczeniu niskiej emisji: w</w:t>
      </w:r>
      <w:r w:rsidR="001E5C9E">
        <w:t> </w:t>
      </w:r>
      <w:r w:rsidRPr="00CD5CEF">
        <w:t>ramach działania wsparcie udzielane będzie na realizację projektów dotyczących likwidacji „niskiejemisji” w regionie. Interwencja w działaniu będzie skierowana na realizację przyłączy do sieciciepłowniczej/chłodniczej oraz wymianę starych kotłów, pieców, urządzeń grzewczychwykorzystujących paliwa stałe na źródła ciepła spalające biomasę lub wykorzystujące paliwagazowe.</w:t>
      </w:r>
    </w:p>
    <w:p w:rsidR="006235FA" w:rsidRPr="00056023" w:rsidRDefault="006235FA" w:rsidP="006235FA">
      <w:pPr>
        <w:suppressAutoHyphens/>
        <w:autoSpaceDE w:val="0"/>
        <w:spacing w:before="160"/>
        <w:rPr>
          <w:rFonts w:cs="Calibri"/>
          <w:b/>
          <w:color w:val="000000" w:themeColor="text1"/>
          <w:lang w:eastAsia="ar-SA"/>
        </w:rPr>
      </w:pPr>
      <w:r w:rsidRPr="00056023">
        <w:rPr>
          <w:rFonts w:cs="Calibri"/>
          <w:b/>
          <w:color w:val="000000" w:themeColor="text1"/>
          <w:lang w:eastAsia="ar-SA"/>
        </w:rPr>
        <w:t>Bank Ochrony Środowiska</w:t>
      </w:r>
    </w:p>
    <w:p w:rsidR="006235FA" w:rsidRPr="004A01E0" w:rsidRDefault="006235FA" w:rsidP="006235FA">
      <w:pPr>
        <w:suppressAutoHyphens/>
        <w:rPr>
          <w:rFonts w:cs="Calibri"/>
          <w:lang w:eastAsia="ar-SA"/>
        </w:rPr>
      </w:pPr>
      <w:r w:rsidRPr="004A01E0">
        <w:rPr>
          <w:rFonts w:cs="Calibri"/>
          <w:lang w:eastAsia="ar-SA"/>
        </w:rPr>
        <w:t>Dla beneficjentów indywidualnych BOŚ oferuje kredyty z dopłatą z WFOŚiGW, NFOŚiGW, kredyty na</w:t>
      </w:r>
      <w:r>
        <w:rPr>
          <w:rFonts w:cs="Calibri"/>
          <w:lang w:eastAsia="ar-SA"/>
        </w:rPr>
        <w:t> </w:t>
      </w:r>
      <w:r w:rsidRPr="004A01E0">
        <w:rPr>
          <w:rFonts w:cs="Calibri"/>
          <w:lang w:eastAsia="ar-SA"/>
        </w:rPr>
        <w:t xml:space="preserve">urządzenia i wyroby służące ochronie środowiska, kredyty termomodernizacyjne i remontowe, kredyty na zaopatrzenie wsi w wodę. </w:t>
      </w:r>
    </w:p>
    <w:p w:rsidR="006235FA" w:rsidRPr="004A01E0" w:rsidRDefault="006235FA" w:rsidP="006235FA">
      <w:pPr>
        <w:suppressAutoHyphens/>
        <w:rPr>
          <w:rFonts w:cs="Calibri"/>
          <w:lang w:eastAsia="ar-SA"/>
        </w:rPr>
      </w:pPr>
      <w:r w:rsidRPr="004A01E0">
        <w:rPr>
          <w:rFonts w:cs="Calibri"/>
          <w:lang w:eastAsia="ar-SA"/>
        </w:rPr>
        <w:t xml:space="preserve">Warunki udzielania kredytów i dopłat są właściwe dla każdego z regionalnych oddziałów banku. </w:t>
      </w:r>
    </w:p>
    <w:p w:rsidR="006235FA" w:rsidRPr="00056023" w:rsidRDefault="006235FA" w:rsidP="006235FA">
      <w:pPr>
        <w:rPr>
          <w:color w:val="000000" w:themeColor="text1"/>
        </w:rPr>
      </w:pPr>
      <w:r w:rsidRPr="00056023">
        <w:rPr>
          <w:b/>
          <w:color w:val="000000" w:themeColor="text1"/>
        </w:rPr>
        <w:t>Fundusz Termomodernizacji i Remontówrealizowany przez Bank Gospodarstwa Krajowego</w:t>
      </w:r>
    </w:p>
    <w:p w:rsidR="006235FA" w:rsidRPr="00EE6383" w:rsidRDefault="006235FA" w:rsidP="006235FA">
      <w:r>
        <w:lastRenderedPageBreak/>
        <w:t>Podstawowym celem Funduszu Termomodernizacji i Remontów jest pomoc finansowa dla inwestorów realizujących przedsięwzięcia termomodernizacyjne i remontowe oraz wypłata rekompensat dla właścicieli budynków mieszkalnych, w których były lokale kwaterunkowe.</w:t>
      </w:r>
    </w:p>
    <w:p w:rsidR="006235FA" w:rsidRPr="00581A1C" w:rsidRDefault="006235FA" w:rsidP="006235FA">
      <w:pPr>
        <w:rPr>
          <w:color w:val="000000"/>
          <w:u w:val="single"/>
        </w:rPr>
      </w:pPr>
      <w:r w:rsidRPr="00581A1C">
        <w:rPr>
          <w:color w:val="000000"/>
          <w:u w:val="single"/>
        </w:rPr>
        <w:t>Formy pomocy:</w:t>
      </w:r>
    </w:p>
    <w:p w:rsidR="006235FA" w:rsidRPr="00581A1C" w:rsidRDefault="006235FA" w:rsidP="00AA7DC0">
      <w:pPr>
        <w:pStyle w:val="Akapitzlist"/>
        <w:numPr>
          <w:ilvl w:val="0"/>
          <w:numId w:val="42"/>
        </w:numPr>
        <w:spacing w:before="0" w:after="160"/>
        <w:rPr>
          <w:color w:val="000000"/>
        </w:rPr>
      </w:pPr>
      <w:r w:rsidRPr="00581A1C">
        <w:rPr>
          <w:color w:val="000000"/>
        </w:rPr>
        <w:t>premia termomodernizacyjna,</w:t>
      </w:r>
    </w:p>
    <w:p w:rsidR="006235FA" w:rsidRPr="00581A1C" w:rsidRDefault="006235FA" w:rsidP="00AA7DC0">
      <w:pPr>
        <w:pStyle w:val="Akapitzlist"/>
        <w:numPr>
          <w:ilvl w:val="0"/>
          <w:numId w:val="42"/>
        </w:numPr>
        <w:spacing w:before="0" w:after="160"/>
        <w:rPr>
          <w:color w:val="000000"/>
        </w:rPr>
      </w:pPr>
      <w:r w:rsidRPr="00581A1C">
        <w:rPr>
          <w:color w:val="000000"/>
        </w:rPr>
        <w:t>premia remontowa,</w:t>
      </w:r>
    </w:p>
    <w:p w:rsidR="006235FA" w:rsidRPr="00581A1C" w:rsidRDefault="006235FA" w:rsidP="00AA7DC0">
      <w:pPr>
        <w:pStyle w:val="Akapitzlist"/>
        <w:numPr>
          <w:ilvl w:val="0"/>
          <w:numId w:val="42"/>
        </w:numPr>
        <w:spacing w:before="0" w:after="160"/>
        <w:rPr>
          <w:color w:val="000000"/>
        </w:rPr>
      </w:pPr>
      <w:r w:rsidRPr="00581A1C">
        <w:rPr>
          <w:color w:val="000000"/>
        </w:rPr>
        <w:t>premia kompensacyjna.</w:t>
      </w:r>
    </w:p>
    <w:p w:rsidR="006235FA" w:rsidRPr="00581A1C" w:rsidRDefault="006235FA" w:rsidP="006235FA">
      <w:pPr>
        <w:rPr>
          <w:color w:val="000000"/>
          <w:lang w:eastAsia="pl-PL"/>
        </w:rPr>
      </w:pPr>
      <w:r w:rsidRPr="00581A1C">
        <w:rPr>
          <w:color w:val="000000"/>
          <w:lang w:eastAsia="pl-PL"/>
        </w:rPr>
        <w:t>O dofinansowanie projektu w ramach premii termomodernizacyjnej, mogą się ubiegać właściciele lub zarządcy:</w:t>
      </w:r>
    </w:p>
    <w:p w:rsidR="006235FA" w:rsidRPr="00A932AD" w:rsidRDefault="006235FA" w:rsidP="00AA7DC0">
      <w:pPr>
        <w:pStyle w:val="Akapitzlist"/>
        <w:numPr>
          <w:ilvl w:val="0"/>
          <w:numId w:val="41"/>
        </w:numPr>
        <w:spacing w:before="0" w:after="160"/>
        <w:rPr>
          <w:color w:val="000000"/>
          <w:lang w:eastAsia="pl-PL"/>
        </w:rPr>
      </w:pPr>
      <w:r w:rsidRPr="00A932AD">
        <w:rPr>
          <w:color w:val="000000"/>
          <w:lang w:eastAsia="pl-PL"/>
        </w:rPr>
        <w:t>budynków mieszkalnych,</w:t>
      </w:r>
    </w:p>
    <w:p w:rsidR="006235FA" w:rsidRPr="00A932AD" w:rsidRDefault="006235FA" w:rsidP="00AA7DC0">
      <w:pPr>
        <w:pStyle w:val="Akapitzlist"/>
        <w:numPr>
          <w:ilvl w:val="0"/>
          <w:numId w:val="41"/>
        </w:numPr>
        <w:spacing w:before="0" w:after="160"/>
        <w:rPr>
          <w:color w:val="000000"/>
          <w:lang w:eastAsia="pl-PL"/>
        </w:rPr>
      </w:pPr>
      <w:r w:rsidRPr="00A932AD">
        <w:rPr>
          <w:color w:val="000000"/>
          <w:lang w:eastAsia="pl-PL"/>
        </w:rPr>
        <w:t>budynków zbiorowego zamieszkania,</w:t>
      </w:r>
    </w:p>
    <w:p w:rsidR="006235FA" w:rsidRPr="00A932AD" w:rsidRDefault="006235FA" w:rsidP="00AA7DC0">
      <w:pPr>
        <w:pStyle w:val="Akapitzlist"/>
        <w:numPr>
          <w:ilvl w:val="0"/>
          <w:numId w:val="41"/>
        </w:numPr>
        <w:spacing w:before="0" w:after="160"/>
        <w:rPr>
          <w:color w:val="000000"/>
          <w:lang w:eastAsia="pl-PL"/>
        </w:rPr>
      </w:pPr>
      <w:r w:rsidRPr="00A932AD">
        <w:rPr>
          <w:color w:val="000000"/>
          <w:lang w:eastAsia="pl-PL"/>
        </w:rPr>
        <w:t>budynków użyteczności publicznej stanowiących własność jednostek samorządu terytorialnego służących do wykonywania przez nie zadań publicznych,</w:t>
      </w:r>
    </w:p>
    <w:p w:rsidR="006235FA" w:rsidRPr="00A932AD" w:rsidRDefault="006235FA" w:rsidP="00AA7DC0">
      <w:pPr>
        <w:pStyle w:val="Akapitzlist"/>
        <w:numPr>
          <w:ilvl w:val="0"/>
          <w:numId w:val="41"/>
        </w:numPr>
        <w:spacing w:before="0" w:after="160"/>
        <w:rPr>
          <w:color w:val="000000"/>
          <w:lang w:eastAsia="pl-PL"/>
        </w:rPr>
      </w:pPr>
      <w:r w:rsidRPr="00A932AD">
        <w:rPr>
          <w:color w:val="000000"/>
          <w:lang w:eastAsia="pl-PL"/>
        </w:rPr>
        <w:t>lokalnych sieci ciepłowniczych,</w:t>
      </w:r>
    </w:p>
    <w:p w:rsidR="006235FA" w:rsidRPr="00A932AD" w:rsidRDefault="006235FA" w:rsidP="00AA7DC0">
      <w:pPr>
        <w:pStyle w:val="Akapitzlist"/>
        <w:numPr>
          <w:ilvl w:val="0"/>
          <w:numId w:val="41"/>
        </w:numPr>
        <w:spacing w:before="0" w:after="160"/>
        <w:rPr>
          <w:color w:val="000000"/>
          <w:lang w:eastAsia="pl-PL"/>
        </w:rPr>
      </w:pPr>
      <w:r w:rsidRPr="00A932AD">
        <w:rPr>
          <w:color w:val="000000"/>
          <w:lang w:eastAsia="pl-PL"/>
        </w:rPr>
        <w:t>lokalnych źródeł ciepła.</w:t>
      </w:r>
    </w:p>
    <w:p w:rsidR="006235FA" w:rsidRPr="00581A1C" w:rsidRDefault="006235FA" w:rsidP="006235FA">
      <w:pPr>
        <w:rPr>
          <w:color w:val="000000"/>
          <w:u w:val="single"/>
          <w:lang w:eastAsia="pl-PL"/>
        </w:rPr>
      </w:pPr>
      <w:r w:rsidRPr="00581A1C">
        <w:rPr>
          <w:color w:val="000000"/>
          <w:u w:val="single"/>
          <w:lang w:eastAsia="pl-PL"/>
        </w:rPr>
        <w:t>Adresaci programu</w:t>
      </w:r>
    </w:p>
    <w:p w:rsidR="006235FA" w:rsidRPr="00581A1C" w:rsidRDefault="006235FA" w:rsidP="006235FA">
      <w:pPr>
        <w:rPr>
          <w:color w:val="000000"/>
          <w:lang w:eastAsia="pl-PL"/>
        </w:rPr>
      </w:pPr>
      <w:r w:rsidRPr="00581A1C">
        <w:rPr>
          <w:color w:val="000000"/>
          <w:lang w:eastAsia="pl-PL"/>
        </w:rPr>
        <w:t>Z premii mogą korzystać inwestorzy bez względu na status prawny z wyłączeniem jednostek budżetowych i samorządowych zakładów budżetowych, a więc np.:</w:t>
      </w:r>
    </w:p>
    <w:p w:rsidR="006235FA" w:rsidRPr="002D6B2B" w:rsidRDefault="006235FA" w:rsidP="00AA7DC0">
      <w:pPr>
        <w:pStyle w:val="Akapitzlist"/>
        <w:numPr>
          <w:ilvl w:val="0"/>
          <w:numId w:val="46"/>
        </w:numPr>
        <w:spacing w:before="0" w:after="160"/>
        <w:rPr>
          <w:color w:val="000000"/>
          <w:lang w:eastAsia="pl-PL"/>
        </w:rPr>
      </w:pPr>
      <w:r w:rsidRPr="002D6B2B">
        <w:rPr>
          <w:color w:val="000000"/>
          <w:lang w:eastAsia="pl-PL"/>
        </w:rPr>
        <w:t>osoby prawne (m.in. spółdzielnie mieszkaniowe i spółki prawa handlowego),</w:t>
      </w:r>
    </w:p>
    <w:p w:rsidR="006235FA" w:rsidRPr="002D6B2B" w:rsidRDefault="006235FA" w:rsidP="00AA7DC0">
      <w:pPr>
        <w:pStyle w:val="Akapitzlist"/>
        <w:numPr>
          <w:ilvl w:val="0"/>
          <w:numId w:val="46"/>
        </w:numPr>
        <w:spacing w:before="0" w:after="160"/>
        <w:rPr>
          <w:color w:val="000000"/>
          <w:lang w:eastAsia="pl-PL"/>
        </w:rPr>
      </w:pPr>
      <w:r w:rsidRPr="002D6B2B">
        <w:rPr>
          <w:color w:val="000000"/>
          <w:lang w:eastAsia="pl-PL"/>
        </w:rPr>
        <w:t>jednostki samorządu terytorialnego,</w:t>
      </w:r>
    </w:p>
    <w:p w:rsidR="006235FA" w:rsidRPr="002D6B2B" w:rsidRDefault="006235FA" w:rsidP="00AA7DC0">
      <w:pPr>
        <w:pStyle w:val="Akapitzlist"/>
        <w:numPr>
          <w:ilvl w:val="0"/>
          <w:numId w:val="46"/>
        </w:numPr>
        <w:spacing w:before="0" w:after="160"/>
        <w:rPr>
          <w:color w:val="000000"/>
          <w:lang w:eastAsia="pl-PL"/>
        </w:rPr>
      </w:pPr>
      <w:r w:rsidRPr="002D6B2B">
        <w:rPr>
          <w:color w:val="000000"/>
          <w:lang w:eastAsia="pl-PL"/>
        </w:rPr>
        <w:t>wspólnoty mieszkaniowe,</w:t>
      </w:r>
    </w:p>
    <w:p w:rsidR="006235FA" w:rsidRPr="002D6B2B" w:rsidRDefault="006235FA" w:rsidP="00AA7DC0">
      <w:pPr>
        <w:pStyle w:val="Akapitzlist"/>
        <w:numPr>
          <w:ilvl w:val="0"/>
          <w:numId w:val="46"/>
        </w:numPr>
        <w:spacing w:before="0" w:after="160"/>
        <w:rPr>
          <w:color w:val="000000"/>
          <w:lang w:eastAsia="pl-PL"/>
        </w:rPr>
      </w:pPr>
      <w:r w:rsidRPr="002D6B2B">
        <w:rPr>
          <w:color w:val="000000"/>
          <w:lang w:eastAsia="pl-PL"/>
        </w:rPr>
        <w:t>osoby fizyczne (w tym właściciele domów jednorodzinnych).</w:t>
      </w:r>
    </w:p>
    <w:p w:rsidR="006235FA" w:rsidRPr="00581A1C" w:rsidRDefault="006235FA" w:rsidP="006235FA">
      <w:pPr>
        <w:rPr>
          <w:color w:val="000000"/>
          <w:u w:val="single"/>
          <w:lang w:eastAsia="pl-PL"/>
        </w:rPr>
      </w:pPr>
      <w:r w:rsidRPr="00581A1C">
        <w:rPr>
          <w:color w:val="000000"/>
          <w:u w:val="single"/>
          <w:lang w:eastAsia="pl-PL"/>
        </w:rPr>
        <w:t>Przeznaczenie środków</w:t>
      </w:r>
    </w:p>
    <w:p w:rsidR="006235FA" w:rsidRPr="00581A1C" w:rsidRDefault="006235FA" w:rsidP="006235FA">
      <w:pPr>
        <w:rPr>
          <w:color w:val="000000"/>
          <w:lang w:eastAsia="pl-PL"/>
        </w:rPr>
      </w:pPr>
      <w:r w:rsidRPr="00581A1C">
        <w:rPr>
          <w:color w:val="000000"/>
          <w:lang w:eastAsia="pl-PL"/>
        </w:rPr>
        <w:t>Premia termomodernizacyjna przysługuje inwestorowi z tytułu realizacji przedsięwzięcia termomodernizacyjnego i stanowi spłatę części kredytu zaciągniętego przez inwestora.</w:t>
      </w:r>
    </w:p>
    <w:p w:rsidR="006235FA" w:rsidRPr="00581A1C" w:rsidRDefault="006235FA" w:rsidP="006235FA">
      <w:pPr>
        <w:rPr>
          <w:color w:val="000000"/>
          <w:lang w:eastAsia="pl-PL"/>
        </w:rPr>
      </w:pPr>
      <w:r w:rsidRPr="00581A1C">
        <w:rPr>
          <w:color w:val="000000"/>
          <w:lang w:eastAsia="pl-PL"/>
        </w:rPr>
        <w:t>Przysługuje tylko inwestorom korzystającym z kredytu. Nie mogą z niej skorzystać inwestorzy realizujący przedsięwzięcie termomodernizacyjne wyłącznie z własnych środków.</w:t>
      </w:r>
    </w:p>
    <w:p w:rsidR="006235FA" w:rsidRDefault="006235FA" w:rsidP="006235FA">
      <w:pPr>
        <w:rPr>
          <w:color w:val="000000"/>
          <w:u w:val="single"/>
          <w:lang w:eastAsia="pl-PL"/>
        </w:rPr>
      </w:pPr>
      <w:r w:rsidRPr="00581A1C">
        <w:rPr>
          <w:color w:val="000000"/>
          <w:u w:val="single"/>
          <w:lang w:eastAsia="pl-PL"/>
        </w:rPr>
        <w:lastRenderedPageBreak/>
        <w:t>Wysokość dofinansowania</w:t>
      </w:r>
    </w:p>
    <w:p w:rsidR="006235FA" w:rsidRPr="00C84E7B" w:rsidRDefault="006235FA" w:rsidP="006235FA">
      <w:pPr>
        <w:rPr>
          <w:color w:val="000000"/>
          <w:u w:val="single"/>
          <w:lang w:eastAsia="pl-PL"/>
        </w:rPr>
      </w:pPr>
      <w:r w:rsidRPr="00581A1C">
        <w:rPr>
          <w:color w:val="000000"/>
          <w:lang w:eastAsia="pl-PL"/>
        </w:rPr>
        <w:t>Wysokość premii termomodernizacyjnej wynosi 20% kwoty kredytu wykorzystanego na realizację przedsięwzięcia termomodernizacyjnego, jednak nie może wynosić więcej niż:</w:t>
      </w:r>
    </w:p>
    <w:p w:rsidR="006235FA" w:rsidRDefault="006235FA" w:rsidP="00AA7DC0">
      <w:pPr>
        <w:pStyle w:val="Akapitzlist"/>
        <w:numPr>
          <w:ilvl w:val="0"/>
          <w:numId w:val="47"/>
        </w:numPr>
        <w:spacing w:before="0" w:after="160"/>
        <w:rPr>
          <w:color w:val="000000"/>
          <w:lang w:eastAsia="pl-PL"/>
        </w:rPr>
      </w:pPr>
      <w:r w:rsidRPr="002D6B2B">
        <w:rPr>
          <w:color w:val="000000"/>
          <w:lang w:eastAsia="pl-PL"/>
        </w:rPr>
        <w:t xml:space="preserve">16% kosztów poniesionych na realizację przedsięwzięcia termomodernizacyjnego </w:t>
      </w:r>
      <w:r w:rsidRPr="002D6B2B">
        <w:rPr>
          <w:color w:val="000000"/>
          <w:lang w:eastAsia="pl-PL"/>
        </w:rPr>
        <w:br/>
        <w:t>i dwukrotność przewidywanych rocznych oszczędności kosztów energii, ustalonych na podstawie audytu energetycznego.</w:t>
      </w:r>
    </w:p>
    <w:p w:rsidR="00B70A8F" w:rsidRDefault="00B70A8F" w:rsidP="00B70A8F">
      <w:pPr>
        <w:pStyle w:val="Akapitzlist"/>
        <w:spacing w:before="0" w:after="160"/>
        <w:rPr>
          <w:color w:val="000000"/>
          <w:lang w:eastAsia="pl-PL"/>
        </w:rPr>
      </w:pPr>
    </w:p>
    <w:p w:rsidR="00B70A8F" w:rsidRPr="001E7F29" w:rsidRDefault="00B70A8F" w:rsidP="00B70A8F">
      <w:pPr>
        <w:pStyle w:val="Styl1"/>
      </w:pPr>
      <w:bookmarkStart w:id="247" w:name="_Toc525562226"/>
      <w:bookmarkStart w:id="248" w:name="_Toc529438927"/>
      <w:bookmarkStart w:id="249" w:name="_Toc535233359"/>
      <w:r>
        <w:t>9</w:t>
      </w:r>
      <w:r w:rsidRPr="001E7F29">
        <w:t xml:space="preserve">. </w:t>
      </w:r>
      <w:bookmarkEnd w:id="247"/>
      <w:r w:rsidRPr="001E7F29">
        <w:t>MONITORING I EWALUACJA PO</w:t>
      </w:r>
      <w:r>
        <w:t>NE</w:t>
      </w:r>
      <w:bookmarkEnd w:id="248"/>
      <w:bookmarkEnd w:id="249"/>
    </w:p>
    <w:p w:rsidR="00B70A8F" w:rsidRPr="00CE3C2E" w:rsidRDefault="00B70A8F" w:rsidP="00B70A8F">
      <w:pPr>
        <w:rPr>
          <w:rFonts w:cs="TimesNewRoman,Bold"/>
        </w:rPr>
      </w:pPr>
      <w:r w:rsidRPr="004D640E">
        <w:t xml:space="preserve">Monitoring realizacji </w:t>
      </w:r>
      <w:r w:rsidRPr="004D640E">
        <w:rPr>
          <w:iCs/>
        </w:rPr>
        <w:t>Programu</w:t>
      </w:r>
      <w:r w:rsidRPr="004D640E">
        <w:t>prowadzony b</w:t>
      </w:r>
      <w:r w:rsidRPr="004D640E">
        <w:rPr>
          <w:rFonts w:cs="TimesNewRoman,Bold"/>
        </w:rPr>
        <w:t>ę</w:t>
      </w:r>
      <w:r w:rsidRPr="004D640E">
        <w:t>dzie w oparciu o ilo</w:t>
      </w:r>
      <w:r w:rsidRPr="004D640E">
        <w:rPr>
          <w:rFonts w:cs="TimesNewRoman,Bold"/>
        </w:rPr>
        <w:t xml:space="preserve">ść </w:t>
      </w:r>
      <w:r w:rsidRPr="004D640E">
        <w:t>wykonanych działa</w:t>
      </w:r>
      <w:r w:rsidRPr="004D640E">
        <w:rPr>
          <w:rFonts w:cs="TimesNewRoman,Bold"/>
        </w:rPr>
        <w:t xml:space="preserve">ń </w:t>
      </w:r>
      <w:r w:rsidRPr="004D640E">
        <w:t>w</w:t>
      </w:r>
      <w:r w:rsidR="001E5C9E">
        <w:t> </w:t>
      </w:r>
      <w:r w:rsidRPr="004D640E">
        <w:t>danym okresie czasu. Inaczej rzecz ujmuj</w:t>
      </w:r>
      <w:r w:rsidRPr="004D640E">
        <w:rPr>
          <w:rFonts w:eastAsia="TimesNewRoman" w:cs="TimesNewRoman"/>
        </w:rPr>
        <w:t>ą</w:t>
      </w:r>
      <w:r w:rsidRPr="004D640E">
        <w:t>c, ka</w:t>
      </w:r>
      <w:r w:rsidRPr="004D640E">
        <w:rPr>
          <w:rFonts w:eastAsia="TimesNewRoman" w:cs="TimesNewRoman"/>
        </w:rPr>
        <w:t>ż</w:t>
      </w:r>
      <w:r w:rsidRPr="004D640E">
        <w:t>dorazowa zmiana ilo</w:t>
      </w:r>
      <w:r w:rsidRPr="004D640E">
        <w:rPr>
          <w:rFonts w:eastAsia="TimesNewRoman" w:cs="TimesNewRoman"/>
        </w:rPr>
        <w:t>ś</w:t>
      </w:r>
      <w:r w:rsidRPr="004D640E">
        <w:t>ciowa w danymwariancie modernizacji stwarza konieczno</w:t>
      </w:r>
      <w:r w:rsidRPr="004D640E">
        <w:rPr>
          <w:rFonts w:eastAsia="TimesNewRoman" w:cs="TimesNewRoman"/>
        </w:rPr>
        <w:t xml:space="preserve">ść </w:t>
      </w:r>
      <w:r w:rsidRPr="004D640E">
        <w:t>ponownego wyznaczenia efektu energetycznegoi</w:t>
      </w:r>
      <w:r w:rsidR="001E5C9E">
        <w:t> </w:t>
      </w:r>
      <w:r w:rsidRPr="004D640E">
        <w:t>ekologicznego (jako iloczyn liczby obiektów w danym wariancie i jednostkowego wska</w:t>
      </w:r>
      <w:r w:rsidRPr="004D640E">
        <w:rPr>
          <w:rFonts w:eastAsia="TimesNewRoman" w:cs="TimesNewRoman"/>
        </w:rPr>
        <w:t>ź</w:t>
      </w:r>
      <w:r w:rsidRPr="004D640E">
        <w:t>nikazu</w:t>
      </w:r>
      <w:r w:rsidRPr="004D640E">
        <w:rPr>
          <w:rFonts w:eastAsia="TimesNewRoman" w:cs="TimesNewRoman"/>
        </w:rPr>
        <w:t>ż</w:t>
      </w:r>
      <w:r w:rsidRPr="004D640E">
        <w:t>ycia energii oraz emisji zanieczyszcze</w:t>
      </w:r>
      <w:r w:rsidRPr="004D640E">
        <w:rPr>
          <w:rFonts w:eastAsia="TimesNewRoman" w:cs="TimesNewRoman"/>
        </w:rPr>
        <w:t xml:space="preserve">ń </w:t>
      </w:r>
      <w:r w:rsidRPr="004D640E">
        <w:t>przypadaj</w:t>
      </w:r>
      <w:r w:rsidRPr="004D640E">
        <w:rPr>
          <w:rFonts w:eastAsia="TimesNewRoman" w:cs="TimesNewRoman"/>
        </w:rPr>
        <w:t>ą</w:t>
      </w:r>
      <w:r w:rsidRPr="004D640E">
        <w:t>cych na dany typ budynku standardowego).</w:t>
      </w:r>
    </w:p>
    <w:p w:rsidR="00B70A8F" w:rsidRDefault="00B70A8F" w:rsidP="00B70A8F">
      <w:r>
        <w:t xml:space="preserve">Za monitoring działań odpowiada jednostka koordynująca, która na bieżąco pozyskiwać będzie dane do monitorowania programu. Analiza postępów powinna być przeprowadzana przynajmniej raz w roku i powinna dotyczyć sytuacji za rok poprzedni. Efektem ewaluacji będzie ocena czy działania są w rzeczywistości na tyle skuteczne na ile zakładano. Jeżeli działania nie będą przynosiły zakładanych rezultatów konieczna będzie aktualizacja planu działań. </w:t>
      </w:r>
    </w:p>
    <w:p w:rsidR="00B70A8F" w:rsidRDefault="00B70A8F" w:rsidP="00B70A8F">
      <w:r>
        <w:t>W ramach monitoringu programu proponuje się podjęcie następujących działań realizowanych przez jednostkę koordynującą wdrażanie programu:</w:t>
      </w:r>
    </w:p>
    <w:p w:rsidR="00B70A8F" w:rsidRDefault="00B70A8F" w:rsidP="00B70A8F">
      <w:pPr>
        <w:pStyle w:val="Akapitzlist"/>
        <w:numPr>
          <w:ilvl w:val="0"/>
          <w:numId w:val="39"/>
        </w:numPr>
        <w:spacing w:before="0" w:after="160"/>
      </w:pPr>
      <w:r>
        <w:t>systematyczne zbieranie danych liczbowych oraz innych danych dotyczących specyfiki danego zadania (np. ilość zamontowanych kotłów, ilość budynków użyteczności publicznej poddanych pracom termomodernizacyjnym);</w:t>
      </w:r>
    </w:p>
    <w:p w:rsidR="00B70A8F" w:rsidRDefault="00B70A8F" w:rsidP="00B70A8F">
      <w:pPr>
        <w:pStyle w:val="Akapitzlist"/>
        <w:numPr>
          <w:ilvl w:val="0"/>
          <w:numId w:val="39"/>
        </w:numPr>
        <w:spacing w:before="0" w:after="160"/>
      </w:pPr>
      <w:r>
        <w:t>opracowanie rocznych raportów z postępów realizacji zadań opisanych w programie;</w:t>
      </w:r>
    </w:p>
    <w:p w:rsidR="00B70A8F" w:rsidRDefault="00B70A8F" w:rsidP="00B70A8F">
      <w:pPr>
        <w:pStyle w:val="Akapitzlist"/>
        <w:numPr>
          <w:ilvl w:val="0"/>
          <w:numId w:val="39"/>
        </w:numPr>
        <w:spacing w:before="0" w:after="160"/>
      </w:pPr>
      <w:r>
        <w:t>dokonanie analizy osiąganych postępów, określenie stopnia wykonania zadań oraz określenie ewentualnych nieprawidłowości;</w:t>
      </w:r>
    </w:p>
    <w:p w:rsidR="00B70A8F" w:rsidRDefault="00B70A8F" w:rsidP="00B70A8F">
      <w:pPr>
        <w:pStyle w:val="Akapitzlist"/>
        <w:numPr>
          <w:ilvl w:val="0"/>
          <w:numId w:val="39"/>
        </w:numPr>
        <w:spacing w:before="0" w:after="160"/>
      </w:pPr>
      <w:r>
        <w:lastRenderedPageBreak/>
        <w:t>zdiagnozowanie przyczyn powstałych nieprawidłowości oraz wskazanie działań naprawczych umożliwiających realizację postępów;</w:t>
      </w:r>
    </w:p>
    <w:p w:rsidR="00B70A8F" w:rsidRDefault="00B70A8F" w:rsidP="00B70A8F">
      <w:pPr>
        <w:pStyle w:val="Akapitzlist"/>
        <w:numPr>
          <w:ilvl w:val="0"/>
          <w:numId w:val="39"/>
        </w:numPr>
        <w:spacing w:before="0" w:after="160"/>
      </w:pPr>
      <w:r>
        <w:t>realizowanie działań naprawczych;</w:t>
      </w:r>
    </w:p>
    <w:p w:rsidR="00B70A8F" w:rsidRDefault="00B70A8F" w:rsidP="00B70A8F">
      <w:pPr>
        <w:pStyle w:val="Akapitzlist"/>
        <w:numPr>
          <w:ilvl w:val="0"/>
          <w:numId w:val="39"/>
        </w:numPr>
        <w:spacing w:before="0" w:after="160"/>
      </w:pPr>
      <w:r>
        <w:t>w przypadku konieczności dokonania zmian w założeniach programu – dokonanie aktualizacji dokumentu.</w:t>
      </w:r>
    </w:p>
    <w:p w:rsidR="00B70A8F" w:rsidRDefault="00B70A8F" w:rsidP="00B70A8F">
      <w:pPr>
        <w:pStyle w:val="Akapitzlist"/>
        <w:ind w:left="0"/>
      </w:pPr>
      <w:r>
        <w:t xml:space="preserve">Monitorowania efektu ekologicznego należy dokonywać poprzez mnożenie wskaźnika monitoringu (liczbę wykonanych poszczególnych inwestycji) przez wartości jednostkowych efektów ekologicznych i kosztów jednostkowych danych inwestycji. </w:t>
      </w:r>
    </w:p>
    <w:p w:rsidR="00B70A8F" w:rsidRPr="00B70A8F" w:rsidRDefault="00B70A8F" w:rsidP="00B70A8F">
      <w:pPr>
        <w:pStyle w:val="Akapitzlist"/>
        <w:ind w:left="0"/>
      </w:pPr>
    </w:p>
    <w:p w:rsidR="00EF6858" w:rsidRDefault="00C45A28" w:rsidP="008F04F6">
      <w:pPr>
        <w:pStyle w:val="Styl1"/>
      </w:pPr>
      <w:bookmarkStart w:id="250" w:name="_Toc530660624"/>
      <w:bookmarkStart w:id="251" w:name="_Toc535233363"/>
      <w:r>
        <w:t>10</w:t>
      </w:r>
      <w:r w:rsidR="00EF6858">
        <w:t>. Podsumowanie</w:t>
      </w:r>
      <w:bookmarkEnd w:id="250"/>
      <w:bookmarkEnd w:id="251"/>
    </w:p>
    <w:p w:rsidR="00EF6858" w:rsidRDefault="00EF6858" w:rsidP="00EF6858">
      <w:r>
        <w:t>Obowiązek określenia Programów Ograniczania Niskiej Emisji (zgodnie z Programami Ochrony Powietrza, obowiązującymi w województwie mazowieckim), mają samorządy gminne właściwe dla gmin, na terenie których stwierdzono występowanie przekroczeń poziomów dopuszczalnych pyłu zawieszonego PM10 i pyłu zawieszonego PM2,5.</w:t>
      </w:r>
    </w:p>
    <w:p w:rsidR="00EF6858" w:rsidRDefault="00EF6858" w:rsidP="00EF6858">
      <w:r w:rsidRPr="00E50F21">
        <w:t xml:space="preserve">Na terenie Miasta </w:t>
      </w:r>
      <w:r w:rsidR="00CF30BB">
        <w:t>Mława</w:t>
      </w:r>
      <w:r w:rsidRPr="00E50F21">
        <w:t xml:space="preserve"> stwierdzane zostały przekroczenia pyłów zawieszonychPM10 i PM2,5, a za przyczynę zaistniałego zjawiska uznawana jest emisja związana z indywidualnym ogrzewaniem budynków. Zgodnie z Załącznikiem nr 4 do uchwały nr 98/17 Sejmiku Województwa Mazowieckiego z dnia 20 czerwca 2017 r. </w:t>
      </w:r>
      <w:r w:rsidRPr="00E50F21">
        <w:rPr>
          <w:b/>
          <w:bCs/>
          <w:sz w:val="23"/>
          <w:szCs w:val="23"/>
        </w:rPr>
        <w:t>zmieniają</w:t>
      </w:r>
      <w:r>
        <w:rPr>
          <w:b/>
          <w:bCs/>
          <w:sz w:val="23"/>
          <w:szCs w:val="23"/>
        </w:rPr>
        <w:t>cej</w:t>
      </w:r>
      <w:r w:rsidRPr="00E50F21">
        <w:rPr>
          <w:b/>
          <w:bCs/>
          <w:sz w:val="23"/>
          <w:szCs w:val="23"/>
        </w:rPr>
        <w:t xml:space="preserve"> uchwałę w sprawie programu ochrony powietrza dla strefy mazowieckiej, w której zostały przekroczone poziomy dopuszczalne pyłu zawieszonego PM10 i pyłu zawieszonego PM2,5 w powietrzu</w:t>
      </w:r>
      <w:r w:rsidRPr="00E50F21">
        <w:t xml:space="preserve">, </w:t>
      </w:r>
      <w:r>
        <w:t xml:space="preserve">założono </w:t>
      </w:r>
      <w:r w:rsidRPr="00E50F21">
        <w:t>redukcj</w:t>
      </w:r>
      <w:r>
        <w:t>ę</w:t>
      </w:r>
      <w:r w:rsidRPr="00E50F21">
        <w:t xml:space="preserve"> emisji powierzchniowej</w:t>
      </w:r>
      <w:r w:rsidRPr="00201B63">
        <w:t xml:space="preserve">na terenie </w:t>
      </w:r>
      <w:r>
        <w:t>Miasta Mława dla pyłu zawieszonego PM10 i pyłu zawieszonego PM2,5 do stopnia:</w:t>
      </w:r>
    </w:p>
    <w:p w:rsidR="00EF6858" w:rsidRDefault="00EF6858" w:rsidP="00AA7DC0">
      <w:pPr>
        <w:pStyle w:val="Akapitzlist"/>
        <w:numPr>
          <w:ilvl w:val="0"/>
          <w:numId w:val="48"/>
        </w:numPr>
      </w:pPr>
      <w:r>
        <w:t>25,00%,</w:t>
      </w:r>
    </w:p>
    <w:p w:rsidR="00EF6858" w:rsidRDefault="00EF6858" w:rsidP="00EF6858">
      <w:r>
        <w:t xml:space="preserve"> oraz osiągniecie </w:t>
      </w:r>
      <w:r w:rsidRPr="00201B63">
        <w:t>wymaganej redukcji emisji pył</w:t>
      </w:r>
      <w:r>
        <w:t>ów</w:t>
      </w:r>
      <w:r w:rsidRPr="00201B63">
        <w:t xml:space="preserve"> zawieszon</w:t>
      </w:r>
      <w:r>
        <w:t>ych:</w:t>
      </w:r>
    </w:p>
    <w:p w:rsidR="00EF6858" w:rsidRPr="00EF6858" w:rsidRDefault="00EF6858" w:rsidP="00AA7DC0">
      <w:pPr>
        <w:pStyle w:val="Akapitzlist"/>
        <w:numPr>
          <w:ilvl w:val="0"/>
          <w:numId w:val="49"/>
        </w:numPr>
      </w:pPr>
      <w:r w:rsidRPr="00EF6858">
        <w:t>PM10: 40,17 Mg/rok;</w:t>
      </w:r>
    </w:p>
    <w:p w:rsidR="00EF6858" w:rsidRPr="00EF6858" w:rsidRDefault="00EF6858" w:rsidP="00AA7DC0">
      <w:pPr>
        <w:pStyle w:val="Akapitzlist"/>
        <w:numPr>
          <w:ilvl w:val="0"/>
          <w:numId w:val="49"/>
        </w:numPr>
      </w:pPr>
      <w:r w:rsidRPr="00EF6858">
        <w:t>PM2,5: 39,55 Mg/rok.</w:t>
      </w:r>
      <w:bookmarkStart w:id="252" w:name="_GoBack"/>
      <w:bookmarkEnd w:id="252"/>
    </w:p>
    <w:p w:rsidR="00EF6858" w:rsidRDefault="00EF6858" w:rsidP="00EF6858">
      <w:r>
        <w:t>Zgodnie z Załącznikiem 4 do uchwały nr 98/17 Sejmiku Województwa Mazowieckiego z dnia 20</w:t>
      </w:r>
      <w:r w:rsidR="001E5C9E">
        <w:t> </w:t>
      </w:r>
      <w:r>
        <w:t xml:space="preserve">czerwca 2017 r. szacunkowa potrzebna ilość wymienionych kotłów węglowych wynosi 1304. </w:t>
      </w:r>
    </w:p>
    <w:p w:rsidR="00EF6858" w:rsidRDefault="00EF6858" w:rsidP="00EF6858">
      <w:r>
        <w:lastRenderedPageBreak/>
        <w:t>W celu utrzymania poziomów substancji w powietrzu poniżej poziomów dopuszczalnych, docelowych i poziomów celów długoterminowych Miasto Mława podejmuje również alternatywne działania na terenie miasta przyczyniające się do ograniczenia emisji pyłów zawieszonych.</w:t>
      </w:r>
    </w:p>
    <w:p w:rsidR="006235FA" w:rsidRDefault="00EF6858" w:rsidP="006235FA">
      <w:r>
        <w:t>W swoich działaniach oraz planowaniu strategicznym Miasto Mława uwzględnia działania mające na celu ograniczanie niskiej emisji również przez oddziaływanie na komunikację liniową, rozwój zieleni miejskiej oraz prowadzenie działań edukacyjnych dla mieszkańców.</w:t>
      </w:r>
    </w:p>
    <w:p w:rsidR="00024CAC" w:rsidRDefault="00024CAC" w:rsidP="006235FA"/>
    <w:p w:rsidR="00024CAC" w:rsidRPr="00E457E6" w:rsidRDefault="00024CAC" w:rsidP="00024CAC">
      <w:pPr>
        <w:pStyle w:val="Styl1"/>
        <w:spacing w:line="360" w:lineRule="auto"/>
      </w:pPr>
      <w:bookmarkStart w:id="253" w:name="_Toc524375271"/>
      <w:bookmarkStart w:id="254" w:name="_Toc524936098"/>
      <w:bookmarkStart w:id="255" w:name="_Toc525562230"/>
      <w:bookmarkStart w:id="256" w:name="_Toc529438932"/>
      <w:bookmarkStart w:id="257" w:name="_Toc535233364"/>
      <w:r w:rsidRPr="00E457E6">
        <w:t>Załączniki</w:t>
      </w:r>
      <w:bookmarkEnd w:id="253"/>
      <w:bookmarkEnd w:id="254"/>
      <w:bookmarkEnd w:id="255"/>
      <w:bookmarkEnd w:id="256"/>
      <w:bookmarkEnd w:id="257"/>
    </w:p>
    <w:p w:rsidR="00024CAC" w:rsidRDefault="00024CAC" w:rsidP="00AA7DC0">
      <w:pPr>
        <w:pStyle w:val="Akapitzlist"/>
        <w:numPr>
          <w:ilvl w:val="0"/>
          <w:numId w:val="50"/>
        </w:numPr>
        <w:spacing w:before="0" w:after="160"/>
      </w:pPr>
      <w:r>
        <w:t>Baza obliczeń</w:t>
      </w:r>
    </w:p>
    <w:p w:rsidR="00024CAC" w:rsidRDefault="00024CAC" w:rsidP="00AA7DC0">
      <w:pPr>
        <w:pStyle w:val="Akapitzlist"/>
        <w:numPr>
          <w:ilvl w:val="0"/>
          <w:numId w:val="50"/>
        </w:numPr>
        <w:spacing w:before="0" w:after="160"/>
      </w:pPr>
      <w:r>
        <w:t>Wzór wniosku o udzielenie dotacji</w:t>
      </w:r>
    </w:p>
    <w:p w:rsidR="00C912AF" w:rsidRDefault="00024CAC" w:rsidP="00AA7DC0">
      <w:pPr>
        <w:pStyle w:val="Akapitzlist"/>
        <w:numPr>
          <w:ilvl w:val="0"/>
          <w:numId w:val="50"/>
        </w:numPr>
        <w:spacing w:before="0" w:after="160"/>
      </w:pPr>
      <w:r>
        <w:t>Wzór umowy o udzielenie dotacji</w:t>
      </w:r>
    </w:p>
    <w:p w:rsidR="00024CAC" w:rsidRDefault="00024CAC" w:rsidP="006235FA"/>
    <w:p w:rsidR="00C912AF" w:rsidRDefault="00C912AF" w:rsidP="00C912AF">
      <w:pPr>
        <w:pStyle w:val="Styl1"/>
      </w:pPr>
      <w:bookmarkStart w:id="258" w:name="_Toc535233365"/>
      <w:r>
        <w:t>Spis Tabel</w:t>
      </w:r>
      <w:bookmarkEnd w:id="258"/>
    </w:p>
    <w:p w:rsidR="00B70A8F" w:rsidRDefault="00135E52">
      <w:pPr>
        <w:pStyle w:val="Spisilustracji"/>
        <w:tabs>
          <w:tab w:val="right" w:leader="dot" w:pos="9062"/>
        </w:tabs>
        <w:rPr>
          <w:rFonts w:asciiTheme="minorHAnsi" w:hAnsiTheme="minorHAnsi"/>
          <w:noProof/>
          <w:sz w:val="22"/>
        </w:rPr>
      </w:pPr>
      <w:r>
        <w:fldChar w:fldCharType="begin"/>
      </w:r>
      <w:r w:rsidR="00C912AF">
        <w:instrText xml:space="preserve"> TOC \h \z \c "Tabela" </w:instrText>
      </w:r>
      <w:r>
        <w:fldChar w:fldCharType="separate"/>
      </w:r>
      <w:hyperlink w:anchor="_Toc535583560" w:history="1">
        <w:r w:rsidR="00B70A8F" w:rsidRPr="00266BAD">
          <w:rPr>
            <w:rStyle w:val="Hipercze"/>
            <w:noProof/>
          </w:rPr>
          <w:t>Tabela 1 Liczba ludności Mławy w latach 2010-2017 (źródło: Bank Danych Lokalnych, GUS).</w:t>
        </w:r>
        <w:r w:rsidR="00B70A8F">
          <w:rPr>
            <w:noProof/>
            <w:webHidden/>
          </w:rPr>
          <w:tab/>
        </w:r>
        <w:r>
          <w:rPr>
            <w:noProof/>
            <w:webHidden/>
          </w:rPr>
          <w:fldChar w:fldCharType="begin"/>
        </w:r>
        <w:r w:rsidR="00B70A8F">
          <w:rPr>
            <w:noProof/>
            <w:webHidden/>
          </w:rPr>
          <w:instrText xml:space="preserve"> PAGEREF _Toc535583560 \h </w:instrText>
        </w:r>
        <w:r>
          <w:rPr>
            <w:noProof/>
            <w:webHidden/>
          </w:rPr>
        </w:r>
        <w:r>
          <w:rPr>
            <w:noProof/>
            <w:webHidden/>
          </w:rPr>
          <w:fldChar w:fldCharType="separate"/>
        </w:r>
        <w:r w:rsidR="00AD136C">
          <w:rPr>
            <w:noProof/>
            <w:webHidden/>
          </w:rPr>
          <w:t>28</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1" w:history="1">
        <w:r w:rsidR="00B70A8F" w:rsidRPr="00266BAD">
          <w:rPr>
            <w:rStyle w:val="Hipercze"/>
            <w:noProof/>
          </w:rPr>
          <w:t>Tabela 2 Zasoby mieszkaniowe w latach 2010-2017.</w:t>
        </w:r>
        <w:r w:rsidR="00B70A8F">
          <w:rPr>
            <w:noProof/>
            <w:webHidden/>
          </w:rPr>
          <w:tab/>
        </w:r>
        <w:r>
          <w:rPr>
            <w:noProof/>
            <w:webHidden/>
          </w:rPr>
          <w:fldChar w:fldCharType="begin"/>
        </w:r>
        <w:r w:rsidR="00B70A8F">
          <w:rPr>
            <w:noProof/>
            <w:webHidden/>
          </w:rPr>
          <w:instrText xml:space="preserve"> PAGEREF _Toc535583561 \h </w:instrText>
        </w:r>
        <w:r>
          <w:rPr>
            <w:noProof/>
            <w:webHidden/>
          </w:rPr>
        </w:r>
        <w:r>
          <w:rPr>
            <w:noProof/>
            <w:webHidden/>
          </w:rPr>
          <w:fldChar w:fldCharType="separate"/>
        </w:r>
        <w:r w:rsidR="00AD136C">
          <w:rPr>
            <w:noProof/>
            <w:webHidden/>
          </w:rPr>
          <w:t>31</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2" w:history="1">
        <w:r w:rsidR="00B70A8F" w:rsidRPr="00266BAD">
          <w:rPr>
            <w:rStyle w:val="Hipercze"/>
            <w:noProof/>
          </w:rPr>
          <w:t>Tabela 3. Klasy stref dla poszczególnych zanieczyszczeń, uzyskane w ocenie rocznej dokonanej z uwzględnieniem kryteriów ustanowionych pod kątem ochrony zdrowia w 2017 r.</w:t>
        </w:r>
        <w:r w:rsidR="00B70A8F">
          <w:rPr>
            <w:noProof/>
            <w:webHidden/>
          </w:rPr>
          <w:tab/>
        </w:r>
        <w:r>
          <w:rPr>
            <w:noProof/>
            <w:webHidden/>
          </w:rPr>
          <w:fldChar w:fldCharType="begin"/>
        </w:r>
        <w:r w:rsidR="00B70A8F">
          <w:rPr>
            <w:noProof/>
            <w:webHidden/>
          </w:rPr>
          <w:instrText xml:space="preserve"> PAGEREF _Toc535583562 \h </w:instrText>
        </w:r>
        <w:r>
          <w:rPr>
            <w:noProof/>
            <w:webHidden/>
          </w:rPr>
        </w:r>
        <w:r>
          <w:rPr>
            <w:noProof/>
            <w:webHidden/>
          </w:rPr>
          <w:fldChar w:fldCharType="separate"/>
        </w:r>
        <w:r w:rsidR="00AD136C">
          <w:rPr>
            <w:noProof/>
            <w:webHidden/>
          </w:rPr>
          <w:t>33</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3" w:history="1">
        <w:r w:rsidR="00B70A8F" w:rsidRPr="00266BAD">
          <w:rPr>
            <w:rStyle w:val="Hipercze"/>
            <w:noProof/>
          </w:rPr>
          <w:t>Tabela 4. Klasy stref dla poszczególnych zanieczyszczeń uzyskane w ocenie rocznej dokonanej z uwzględnieniem kryteriów ustanowionych pod kątem ochrony roślin w 2017 r.</w:t>
        </w:r>
        <w:r w:rsidR="00B70A8F">
          <w:rPr>
            <w:noProof/>
            <w:webHidden/>
          </w:rPr>
          <w:tab/>
        </w:r>
        <w:r>
          <w:rPr>
            <w:noProof/>
            <w:webHidden/>
          </w:rPr>
          <w:fldChar w:fldCharType="begin"/>
        </w:r>
        <w:r w:rsidR="00B70A8F">
          <w:rPr>
            <w:noProof/>
            <w:webHidden/>
          </w:rPr>
          <w:instrText xml:space="preserve"> PAGEREF _Toc535583563 \h </w:instrText>
        </w:r>
        <w:r>
          <w:rPr>
            <w:noProof/>
            <w:webHidden/>
          </w:rPr>
        </w:r>
        <w:r>
          <w:rPr>
            <w:noProof/>
            <w:webHidden/>
          </w:rPr>
          <w:fldChar w:fldCharType="separate"/>
        </w:r>
        <w:r w:rsidR="00AD136C">
          <w:rPr>
            <w:noProof/>
            <w:webHidden/>
          </w:rPr>
          <w:t>34</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4" w:history="1">
        <w:r w:rsidR="00B70A8F" w:rsidRPr="00266BAD">
          <w:rPr>
            <w:rStyle w:val="Hipercze"/>
            <w:noProof/>
          </w:rPr>
          <w:t>Tabela 5 Poziomy dopuszczalne do klasyfikacji stref w ochrona zdrowia. Dane źródłowe: Roczna Ocena Jakości Powietrza w województwie mazowieckim. Raport za rok 2017.</w:t>
        </w:r>
        <w:r w:rsidR="00B70A8F">
          <w:rPr>
            <w:noProof/>
            <w:webHidden/>
          </w:rPr>
          <w:tab/>
        </w:r>
        <w:r>
          <w:rPr>
            <w:noProof/>
            <w:webHidden/>
          </w:rPr>
          <w:fldChar w:fldCharType="begin"/>
        </w:r>
        <w:r w:rsidR="00B70A8F">
          <w:rPr>
            <w:noProof/>
            <w:webHidden/>
          </w:rPr>
          <w:instrText xml:space="preserve"> PAGEREF _Toc535583564 \h </w:instrText>
        </w:r>
        <w:r>
          <w:rPr>
            <w:noProof/>
            <w:webHidden/>
          </w:rPr>
        </w:r>
        <w:r>
          <w:rPr>
            <w:noProof/>
            <w:webHidden/>
          </w:rPr>
          <w:fldChar w:fldCharType="separate"/>
        </w:r>
        <w:r w:rsidR="00AD136C">
          <w:rPr>
            <w:noProof/>
            <w:webHidden/>
          </w:rPr>
          <w:t>35</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5" w:history="1">
        <w:r w:rsidR="00B70A8F" w:rsidRPr="00266BAD">
          <w:rPr>
            <w:rStyle w:val="Hipercze"/>
            <w:noProof/>
          </w:rPr>
          <w:t>Tabela 6  Planowany efekt rzeczowy wdrażania Programu.</w:t>
        </w:r>
        <w:r w:rsidR="00B70A8F">
          <w:rPr>
            <w:noProof/>
            <w:webHidden/>
          </w:rPr>
          <w:tab/>
        </w:r>
        <w:r>
          <w:rPr>
            <w:noProof/>
            <w:webHidden/>
          </w:rPr>
          <w:fldChar w:fldCharType="begin"/>
        </w:r>
        <w:r w:rsidR="00B70A8F">
          <w:rPr>
            <w:noProof/>
            <w:webHidden/>
          </w:rPr>
          <w:instrText xml:space="preserve"> PAGEREF _Toc535583565 \h </w:instrText>
        </w:r>
        <w:r>
          <w:rPr>
            <w:noProof/>
            <w:webHidden/>
          </w:rPr>
        </w:r>
        <w:r>
          <w:rPr>
            <w:noProof/>
            <w:webHidden/>
          </w:rPr>
          <w:fldChar w:fldCharType="separate"/>
        </w:r>
        <w:r w:rsidR="00AD136C">
          <w:rPr>
            <w:noProof/>
            <w:webHidden/>
          </w:rPr>
          <w:t>65</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6" w:history="1">
        <w:r w:rsidR="00B70A8F" w:rsidRPr="00266BAD">
          <w:rPr>
            <w:rStyle w:val="Hipercze"/>
            <w:noProof/>
          </w:rPr>
          <w:t>Tabela 7 Charakterystyka budynku przeciętnego w Mieście Mława (opracowanie własne na podstawie danych GUS).</w:t>
        </w:r>
        <w:r w:rsidR="00B70A8F">
          <w:rPr>
            <w:noProof/>
            <w:webHidden/>
          </w:rPr>
          <w:tab/>
        </w:r>
        <w:r>
          <w:rPr>
            <w:noProof/>
            <w:webHidden/>
          </w:rPr>
          <w:fldChar w:fldCharType="begin"/>
        </w:r>
        <w:r w:rsidR="00B70A8F">
          <w:rPr>
            <w:noProof/>
            <w:webHidden/>
          </w:rPr>
          <w:instrText xml:space="preserve"> PAGEREF _Toc535583566 \h </w:instrText>
        </w:r>
        <w:r>
          <w:rPr>
            <w:noProof/>
            <w:webHidden/>
          </w:rPr>
        </w:r>
        <w:r>
          <w:rPr>
            <w:noProof/>
            <w:webHidden/>
          </w:rPr>
          <w:fldChar w:fldCharType="separate"/>
        </w:r>
        <w:r w:rsidR="00AD136C">
          <w:rPr>
            <w:noProof/>
            <w:webHidden/>
          </w:rPr>
          <w:t>67</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7" w:history="1">
        <w:r w:rsidR="00B70A8F" w:rsidRPr="00266BAD">
          <w:rPr>
            <w:rStyle w:val="Hipercze"/>
            <w:noProof/>
          </w:rPr>
          <w:t>Tabela 8 Wskaźniki redukcji emisji powierzchniowej pyłu zawieszonego PM10 (źródło: wskazówki sporządzania PONE, Urząd Marszałkowski Województwa Mazowieckiego)</w:t>
        </w:r>
        <w:r w:rsidR="00B70A8F">
          <w:rPr>
            <w:noProof/>
            <w:webHidden/>
          </w:rPr>
          <w:tab/>
        </w:r>
        <w:r>
          <w:rPr>
            <w:noProof/>
            <w:webHidden/>
          </w:rPr>
          <w:fldChar w:fldCharType="begin"/>
        </w:r>
        <w:r w:rsidR="00B70A8F">
          <w:rPr>
            <w:noProof/>
            <w:webHidden/>
          </w:rPr>
          <w:instrText xml:space="preserve"> PAGEREF _Toc535583567 \h </w:instrText>
        </w:r>
        <w:r>
          <w:rPr>
            <w:noProof/>
            <w:webHidden/>
          </w:rPr>
        </w:r>
        <w:r>
          <w:rPr>
            <w:noProof/>
            <w:webHidden/>
          </w:rPr>
          <w:fldChar w:fldCharType="separate"/>
        </w:r>
        <w:r w:rsidR="00AD136C">
          <w:rPr>
            <w:noProof/>
            <w:webHidden/>
          </w:rPr>
          <w:t>68</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8" w:history="1">
        <w:r w:rsidR="00B70A8F" w:rsidRPr="00266BAD">
          <w:rPr>
            <w:rStyle w:val="Hipercze"/>
            <w:noProof/>
          </w:rPr>
          <w:t>Tabela 9 Wskaźniki redukcji emisji powierzchniowej pyłu zawieszonego PM2,5 (źródło: wskazówki sporządzania PONE, Urząd Marszałkowski Województwa Mazowieckiego)</w:t>
        </w:r>
        <w:r w:rsidR="00B70A8F">
          <w:rPr>
            <w:noProof/>
            <w:webHidden/>
          </w:rPr>
          <w:tab/>
        </w:r>
        <w:r>
          <w:rPr>
            <w:noProof/>
            <w:webHidden/>
          </w:rPr>
          <w:fldChar w:fldCharType="begin"/>
        </w:r>
        <w:r w:rsidR="00B70A8F">
          <w:rPr>
            <w:noProof/>
            <w:webHidden/>
          </w:rPr>
          <w:instrText xml:space="preserve"> PAGEREF _Toc535583568 \h </w:instrText>
        </w:r>
        <w:r>
          <w:rPr>
            <w:noProof/>
            <w:webHidden/>
          </w:rPr>
        </w:r>
        <w:r>
          <w:rPr>
            <w:noProof/>
            <w:webHidden/>
          </w:rPr>
          <w:fldChar w:fldCharType="separate"/>
        </w:r>
        <w:r w:rsidR="00AD136C">
          <w:rPr>
            <w:noProof/>
            <w:webHidden/>
          </w:rPr>
          <w:t>68</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69" w:history="1">
        <w:r w:rsidR="00B70A8F" w:rsidRPr="00266BAD">
          <w:rPr>
            <w:rStyle w:val="Hipercze"/>
            <w:noProof/>
          </w:rPr>
          <w:t>Tabela 10 Szacowana redukcje emisji pyłów zawieszonych PM10 i PM2.5 przy wdrożeniu działań założonych dla modernizowanych budynków.</w:t>
        </w:r>
        <w:r w:rsidR="00B70A8F">
          <w:rPr>
            <w:noProof/>
            <w:webHidden/>
          </w:rPr>
          <w:tab/>
        </w:r>
        <w:r>
          <w:rPr>
            <w:noProof/>
            <w:webHidden/>
          </w:rPr>
          <w:fldChar w:fldCharType="begin"/>
        </w:r>
        <w:r w:rsidR="00B70A8F">
          <w:rPr>
            <w:noProof/>
            <w:webHidden/>
          </w:rPr>
          <w:instrText xml:space="preserve"> PAGEREF _Toc535583569 \h </w:instrText>
        </w:r>
        <w:r>
          <w:rPr>
            <w:noProof/>
            <w:webHidden/>
          </w:rPr>
        </w:r>
        <w:r>
          <w:rPr>
            <w:noProof/>
            <w:webHidden/>
          </w:rPr>
          <w:fldChar w:fldCharType="separate"/>
        </w:r>
        <w:r w:rsidR="00AD136C">
          <w:rPr>
            <w:noProof/>
            <w:webHidden/>
          </w:rPr>
          <w:t>69</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70" w:history="1">
        <w:r w:rsidR="00B70A8F" w:rsidRPr="00266BAD">
          <w:rPr>
            <w:rStyle w:val="Hipercze"/>
            <w:noProof/>
          </w:rPr>
          <w:t>Tabela 11 Efekt energetyczny PONE.</w:t>
        </w:r>
        <w:r w:rsidR="00B70A8F">
          <w:rPr>
            <w:noProof/>
            <w:webHidden/>
          </w:rPr>
          <w:tab/>
        </w:r>
        <w:r>
          <w:rPr>
            <w:noProof/>
            <w:webHidden/>
          </w:rPr>
          <w:fldChar w:fldCharType="begin"/>
        </w:r>
        <w:r w:rsidR="00B70A8F">
          <w:rPr>
            <w:noProof/>
            <w:webHidden/>
          </w:rPr>
          <w:instrText xml:space="preserve"> PAGEREF _Toc535583570 \h </w:instrText>
        </w:r>
        <w:r>
          <w:rPr>
            <w:noProof/>
            <w:webHidden/>
          </w:rPr>
        </w:r>
        <w:r>
          <w:rPr>
            <w:noProof/>
            <w:webHidden/>
          </w:rPr>
          <w:fldChar w:fldCharType="separate"/>
        </w:r>
        <w:r w:rsidR="00AD136C">
          <w:rPr>
            <w:noProof/>
            <w:webHidden/>
          </w:rPr>
          <w:t>72</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71" w:history="1">
        <w:r w:rsidR="00B70A8F" w:rsidRPr="00266BAD">
          <w:rPr>
            <w:rStyle w:val="Hipercze"/>
            <w:noProof/>
          </w:rPr>
          <w:t>Tabela 12 Harmonogram rzeczowo-finansowy PONE dla Miasta Mława.</w:t>
        </w:r>
        <w:r w:rsidR="00B70A8F">
          <w:rPr>
            <w:noProof/>
            <w:webHidden/>
          </w:rPr>
          <w:tab/>
        </w:r>
        <w:r>
          <w:rPr>
            <w:noProof/>
            <w:webHidden/>
          </w:rPr>
          <w:fldChar w:fldCharType="begin"/>
        </w:r>
        <w:r w:rsidR="00B70A8F">
          <w:rPr>
            <w:noProof/>
            <w:webHidden/>
          </w:rPr>
          <w:instrText xml:space="preserve"> PAGEREF _Toc535583571 \h </w:instrText>
        </w:r>
        <w:r>
          <w:rPr>
            <w:noProof/>
            <w:webHidden/>
          </w:rPr>
        </w:r>
        <w:r>
          <w:rPr>
            <w:noProof/>
            <w:webHidden/>
          </w:rPr>
          <w:fldChar w:fldCharType="separate"/>
        </w:r>
        <w:r w:rsidR="00AD136C">
          <w:rPr>
            <w:noProof/>
            <w:webHidden/>
          </w:rPr>
          <w:t>79</w:t>
        </w:r>
        <w:r>
          <w:rPr>
            <w:noProof/>
            <w:webHidden/>
          </w:rPr>
          <w:fldChar w:fldCharType="end"/>
        </w:r>
      </w:hyperlink>
    </w:p>
    <w:p w:rsidR="00B70A8F" w:rsidRDefault="00135E52">
      <w:pPr>
        <w:pStyle w:val="Spisilustracji"/>
        <w:tabs>
          <w:tab w:val="right" w:leader="dot" w:pos="9062"/>
        </w:tabs>
        <w:rPr>
          <w:rFonts w:asciiTheme="minorHAnsi" w:hAnsiTheme="minorHAnsi"/>
          <w:noProof/>
          <w:sz w:val="22"/>
        </w:rPr>
      </w:pPr>
      <w:hyperlink w:anchor="_Toc535583572" w:history="1">
        <w:r w:rsidR="00B70A8F" w:rsidRPr="00266BAD">
          <w:rPr>
            <w:rStyle w:val="Hipercze"/>
            <w:noProof/>
          </w:rPr>
          <w:t>Tabela 13 Planowane programy z zakresu ochrony powietrza w 2018.</w:t>
        </w:r>
        <w:r w:rsidR="00B70A8F">
          <w:rPr>
            <w:noProof/>
            <w:webHidden/>
          </w:rPr>
          <w:tab/>
        </w:r>
        <w:r>
          <w:rPr>
            <w:noProof/>
            <w:webHidden/>
          </w:rPr>
          <w:fldChar w:fldCharType="begin"/>
        </w:r>
        <w:r w:rsidR="00B70A8F">
          <w:rPr>
            <w:noProof/>
            <w:webHidden/>
          </w:rPr>
          <w:instrText xml:space="preserve"> PAGEREF _Toc535583572 \h </w:instrText>
        </w:r>
        <w:r>
          <w:rPr>
            <w:noProof/>
            <w:webHidden/>
          </w:rPr>
        </w:r>
        <w:r>
          <w:rPr>
            <w:noProof/>
            <w:webHidden/>
          </w:rPr>
          <w:fldChar w:fldCharType="separate"/>
        </w:r>
        <w:r w:rsidR="00AD136C">
          <w:rPr>
            <w:noProof/>
            <w:webHidden/>
          </w:rPr>
          <w:t>85</w:t>
        </w:r>
        <w:r>
          <w:rPr>
            <w:noProof/>
            <w:webHidden/>
          </w:rPr>
          <w:fldChar w:fldCharType="end"/>
        </w:r>
      </w:hyperlink>
    </w:p>
    <w:p w:rsidR="00C912AF" w:rsidRDefault="00135E52" w:rsidP="006235FA">
      <w:r>
        <w:fldChar w:fldCharType="end"/>
      </w:r>
    </w:p>
    <w:p w:rsidR="00C912AF" w:rsidRDefault="00C912AF" w:rsidP="00C912AF">
      <w:pPr>
        <w:pStyle w:val="Styl1"/>
      </w:pPr>
      <w:bookmarkStart w:id="259" w:name="_Toc535233366"/>
      <w:r>
        <w:t>Spis Wykresów</w:t>
      </w:r>
      <w:bookmarkEnd w:id="259"/>
    </w:p>
    <w:p w:rsidR="00566DB4" w:rsidRDefault="00135E52">
      <w:pPr>
        <w:pStyle w:val="Spisilustracji"/>
        <w:tabs>
          <w:tab w:val="right" w:leader="dot" w:pos="9062"/>
        </w:tabs>
        <w:rPr>
          <w:rFonts w:asciiTheme="minorHAnsi" w:hAnsiTheme="minorHAnsi"/>
          <w:noProof/>
          <w:sz w:val="22"/>
        </w:rPr>
      </w:pPr>
      <w:r>
        <w:fldChar w:fldCharType="begin"/>
      </w:r>
      <w:r w:rsidR="00C912AF">
        <w:instrText xml:space="preserve"> TOC \h \z \c "Wykres" </w:instrText>
      </w:r>
      <w:r>
        <w:fldChar w:fldCharType="separate"/>
      </w:r>
      <w:hyperlink w:anchor="_Toc535786967" w:history="1">
        <w:r w:rsidR="00566DB4" w:rsidRPr="001F0277">
          <w:rPr>
            <w:rStyle w:val="Hipercze"/>
            <w:noProof/>
          </w:rPr>
          <w:t>Wykres 1 Liczba mieszkańców Mławy w latach 2010-2017.</w:t>
        </w:r>
        <w:r w:rsidR="00566DB4">
          <w:rPr>
            <w:noProof/>
            <w:webHidden/>
          </w:rPr>
          <w:tab/>
        </w:r>
        <w:r>
          <w:rPr>
            <w:noProof/>
            <w:webHidden/>
          </w:rPr>
          <w:fldChar w:fldCharType="begin"/>
        </w:r>
        <w:r w:rsidR="00566DB4">
          <w:rPr>
            <w:noProof/>
            <w:webHidden/>
          </w:rPr>
          <w:instrText xml:space="preserve"> PAGEREF _Toc535786967 \h </w:instrText>
        </w:r>
        <w:r>
          <w:rPr>
            <w:noProof/>
            <w:webHidden/>
          </w:rPr>
        </w:r>
        <w:r>
          <w:rPr>
            <w:noProof/>
            <w:webHidden/>
          </w:rPr>
          <w:fldChar w:fldCharType="separate"/>
        </w:r>
        <w:r w:rsidR="00AD136C">
          <w:rPr>
            <w:noProof/>
            <w:webHidden/>
          </w:rPr>
          <w:t>28</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68" w:history="1">
        <w:r w:rsidR="00566DB4" w:rsidRPr="001F0277">
          <w:rPr>
            <w:rStyle w:val="Hipercze"/>
            <w:noProof/>
          </w:rPr>
          <w:t>Wykres 2 Podmioty gospodarki narodowej wpisane do rejestru REGON działające w Mławie. Stan na rok 2017.</w:t>
        </w:r>
        <w:r w:rsidR="00566DB4">
          <w:rPr>
            <w:noProof/>
            <w:webHidden/>
          </w:rPr>
          <w:tab/>
        </w:r>
        <w:r>
          <w:rPr>
            <w:noProof/>
            <w:webHidden/>
          </w:rPr>
          <w:fldChar w:fldCharType="begin"/>
        </w:r>
        <w:r w:rsidR="00566DB4">
          <w:rPr>
            <w:noProof/>
            <w:webHidden/>
          </w:rPr>
          <w:instrText xml:space="preserve"> PAGEREF _Toc535786968 \h </w:instrText>
        </w:r>
        <w:r>
          <w:rPr>
            <w:noProof/>
            <w:webHidden/>
          </w:rPr>
        </w:r>
        <w:r>
          <w:rPr>
            <w:noProof/>
            <w:webHidden/>
          </w:rPr>
          <w:fldChar w:fldCharType="separate"/>
        </w:r>
        <w:r w:rsidR="00AD136C">
          <w:rPr>
            <w:noProof/>
            <w:webHidden/>
          </w:rPr>
          <w:t>29</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69" w:history="1">
        <w:r w:rsidR="00566DB4" w:rsidRPr="001F0277">
          <w:rPr>
            <w:rStyle w:val="Hipercze"/>
            <w:noProof/>
          </w:rPr>
          <w:t>Wykres 3 Statystyki wyników modelowania matematycznego imisji dla benzo(a)pirenu – średnie, średnioroczne wartości dla Mławy. Opracowanie Grupa CDE Sp. z o. o. na podstawie Roczna Ocena Jakości Powietrza w województwie mazowieckim. Raporty za lata 2015-2017.</w:t>
        </w:r>
        <w:r w:rsidR="00566DB4">
          <w:rPr>
            <w:noProof/>
            <w:webHidden/>
          </w:rPr>
          <w:tab/>
        </w:r>
        <w:r>
          <w:rPr>
            <w:noProof/>
            <w:webHidden/>
          </w:rPr>
          <w:fldChar w:fldCharType="begin"/>
        </w:r>
        <w:r w:rsidR="00566DB4">
          <w:rPr>
            <w:noProof/>
            <w:webHidden/>
          </w:rPr>
          <w:instrText xml:space="preserve"> PAGEREF _Toc535786969 \h </w:instrText>
        </w:r>
        <w:r>
          <w:rPr>
            <w:noProof/>
            <w:webHidden/>
          </w:rPr>
        </w:r>
        <w:r>
          <w:rPr>
            <w:noProof/>
            <w:webHidden/>
          </w:rPr>
          <w:fldChar w:fldCharType="separate"/>
        </w:r>
        <w:r w:rsidR="00AD136C">
          <w:rPr>
            <w:noProof/>
            <w:webHidden/>
          </w:rPr>
          <w:t>36</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0" w:history="1">
        <w:r w:rsidR="00566DB4" w:rsidRPr="001F0277">
          <w:rPr>
            <w:rStyle w:val="Hipercze"/>
            <w:noProof/>
          </w:rPr>
          <w:t>Wykres 4 Statystyki wyników modelowania matematycznego imisji dla pyłów zawieszonych PM10 i PM2.5 – średnie, średnioroczne wartości dla Mławy. Opracowanie Grupa CDE Sp. z o. o. na podstawie Roczna Ocena Jakości Powietrza w województwie mazowieckim. Raporty za lata 2015-2017.</w:t>
        </w:r>
        <w:r w:rsidR="00566DB4">
          <w:rPr>
            <w:noProof/>
            <w:webHidden/>
          </w:rPr>
          <w:tab/>
        </w:r>
        <w:r>
          <w:rPr>
            <w:noProof/>
            <w:webHidden/>
          </w:rPr>
          <w:fldChar w:fldCharType="begin"/>
        </w:r>
        <w:r w:rsidR="00566DB4">
          <w:rPr>
            <w:noProof/>
            <w:webHidden/>
          </w:rPr>
          <w:instrText xml:space="preserve"> PAGEREF _Toc535786970 \h </w:instrText>
        </w:r>
        <w:r>
          <w:rPr>
            <w:noProof/>
            <w:webHidden/>
          </w:rPr>
        </w:r>
        <w:r>
          <w:rPr>
            <w:noProof/>
            <w:webHidden/>
          </w:rPr>
          <w:fldChar w:fldCharType="separate"/>
        </w:r>
        <w:r w:rsidR="00AD136C">
          <w:rPr>
            <w:noProof/>
            <w:webHidden/>
          </w:rPr>
          <w:t>37</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r:id="rId41" w:anchor="_Toc535786971" w:history="1">
        <w:r w:rsidR="00566DB4" w:rsidRPr="001F0277">
          <w:rPr>
            <w:rStyle w:val="Hipercze"/>
            <w:noProof/>
          </w:rPr>
          <w:t>Wykres 5 Wykres 5 Rodzaj paliwa wykorzystywanego do indywidualnego ogrzewania budynków w Mieście Mława. Dane na podstawie ankietyzacji przeprowadzonej wśród gospodarstw domowych.</w:t>
        </w:r>
        <w:r w:rsidR="00566DB4">
          <w:rPr>
            <w:noProof/>
            <w:webHidden/>
          </w:rPr>
          <w:tab/>
        </w:r>
        <w:r>
          <w:rPr>
            <w:noProof/>
            <w:webHidden/>
          </w:rPr>
          <w:fldChar w:fldCharType="begin"/>
        </w:r>
        <w:r w:rsidR="00566DB4">
          <w:rPr>
            <w:noProof/>
            <w:webHidden/>
          </w:rPr>
          <w:instrText xml:space="preserve"> PAGEREF _Toc535786971 \h </w:instrText>
        </w:r>
        <w:r>
          <w:rPr>
            <w:noProof/>
            <w:webHidden/>
          </w:rPr>
        </w:r>
        <w:r>
          <w:rPr>
            <w:noProof/>
            <w:webHidden/>
          </w:rPr>
          <w:fldChar w:fldCharType="separate"/>
        </w:r>
        <w:r w:rsidR="00AD136C">
          <w:rPr>
            <w:noProof/>
            <w:webHidden/>
          </w:rPr>
          <w:t>52</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2" w:history="1">
        <w:r w:rsidR="00566DB4" w:rsidRPr="001F0277">
          <w:rPr>
            <w:rStyle w:val="Hipercze"/>
            <w:noProof/>
          </w:rPr>
          <w:t>Wykres 6 Charakterystyka i rodzaj pieca wykorzystywanego do indywidualnego ogrzewania budynków w Mieście Mława. Dane na podstawie ankietyzacji przeprowadzonej wśród gospodarstw domowych.</w:t>
        </w:r>
        <w:r w:rsidR="00566DB4">
          <w:rPr>
            <w:noProof/>
            <w:webHidden/>
          </w:rPr>
          <w:tab/>
        </w:r>
        <w:r>
          <w:rPr>
            <w:noProof/>
            <w:webHidden/>
          </w:rPr>
          <w:fldChar w:fldCharType="begin"/>
        </w:r>
        <w:r w:rsidR="00566DB4">
          <w:rPr>
            <w:noProof/>
            <w:webHidden/>
          </w:rPr>
          <w:instrText xml:space="preserve"> PAGEREF _Toc535786972 \h </w:instrText>
        </w:r>
        <w:r>
          <w:rPr>
            <w:noProof/>
            <w:webHidden/>
          </w:rPr>
        </w:r>
        <w:r>
          <w:rPr>
            <w:noProof/>
            <w:webHidden/>
          </w:rPr>
          <w:fldChar w:fldCharType="separate"/>
        </w:r>
        <w:r w:rsidR="00AD136C">
          <w:rPr>
            <w:noProof/>
            <w:webHidden/>
          </w:rPr>
          <w:t>53</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3" w:history="1">
        <w:r w:rsidR="00566DB4" w:rsidRPr="001F0277">
          <w:rPr>
            <w:rStyle w:val="Hipercze"/>
            <w:noProof/>
          </w:rPr>
          <w:t>Wykres 7 Procentowy rozkład istniejącej instalacji wykorzystywanej do indywidualnego ogrzewania budynków w Mieście Mława. Dane na podstawie ankietyzacji przeprowadzonej wśród gospodarstw domowych.</w:t>
        </w:r>
        <w:r w:rsidR="00566DB4">
          <w:rPr>
            <w:noProof/>
            <w:webHidden/>
          </w:rPr>
          <w:tab/>
        </w:r>
        <w:r>
          <w:rPr>
            <w:noProof/>
            <w:webHidden/>
          </w:rPr>
          <w:fldChar w:fldCharType="begin"/>
        </w:r>
        <w:r w:rsidR="00566DB4">
          <w:rPr>
            <w:noProof/>
            <w:webHidden/>
          </w:rPr>
          <w:instrText xml:space="preserve"> PAGEREF _Toc535786973 \h </w:instrText>
        </w:r>
        <w:r>
          <w:rPr>
            <w:noProof/>
            <w:webHidden/>
          </w:rPr>
        </w:r>
        <w:r>
          <w:rPr>
            <w:noProof/>
            <w:webHidden/>
          </w:rPr>
          <w:fldChar w:fldCharType="separate"/>
        </w:r>
        <w:r w:rsidR="00AD136C">
          <w:rPr>
            <w:noProof/>
            <w:webHidden/>
          </w:rPr>
          <w:t>54</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4" w:history="1">
        <w:r w:rsidR="00566DB4" w:rsidRPr="001F0277">
          <w:rPr>
            <w:rStyle w:val="Hipercze"/>
            <w:noProof/>
          </w:rPr>
          <w:t>Wykres 8 Deklarowana chęć modernizacji kotłowni na podstawie danych ankietowych w kolejnych latach przeprowadzania PONE w przypadku możliwości uzyskania dofinansowania. Dane na podstawie ankietyzacji przeprowadzonej wśród gospodarstw domowych.</w:t>
        </w:r>
        <w:r w:rsidR="00566DB4">
          <w:rPr>
            <w:noProof/>
            <w:webHidden/>
          </w:rPr>
          <w:tab/>
        </w:r>
        <w:r>
          <w:rPr>
            <w:noProof/>
            <w:webHidden/>
          </w:rPr>
          <w:fldChar w:fldCharType="begin"/>
        </w:r>
        <w:r w:rsidR="00566DB4">
          <w:rPr>
            <w:noProof/>
            <w:webHidden/>
          </w:rPr>
          <w:instrText xml:space="preserve"> PAGEREF _Toc535786974 \h </w:instrText>
        </w:r>
        <w:r>
          <w:rPr>
            <w:noProof/>
            <w:webHidden/>
          </w:rPr>
        </w:r>
        <w:r>
          <w:rPr>
            <w:noProof/>
            <w:webHidden/>
          </w:rPr>
          <w:fldChar w:fldCharType="separate"/>
        </w:r>
        <w:r w:rsidR="00AD136C">
          <w:rPr>
            <w:noProof/>
            <w:webHidden/>
          </w:rPr>
          <w:t>54</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5" w:history="1">
        <w:r w:rsidR="00566DB4" w:rsidRPr="001F0277">
          <w:rPr>
            <w:rStyle w:val="Hipercze"/>
            <w:noProof/>
          </w:rPr>
          <w:t>Wykres 9 Deklarowana chęć rzeczowa modernizacji kotłowni na podstawie danych ankietowych. Dane na podstawie ankietyzacji przeprowadzonej wśród gospodarstw domowych.</w:t>
        </w:r>
        <w:r w:rsidR="00566DB4">
          <w:rPr>
            <w:noProof/>
            <w:webHidden/>
          </w:rPr>
          <w:tab/>
        </w:r>
        <w:r>
          <w:rPr>
            <w:noProof/>
            <w:webHidden/>
          </w:rPr>
          <w:fldChar w:fldCharType="begin"/>
        </w:r>
        <w:r w:rsidR="00566DB4">
          <w:rPr>
            <w:noProof/>
            <w:webHidden/>
          </w:rPr>
          <w:instrText xml:space="preserve"> PAGEREF _Toc535786975 \h </w:instrText>
        </w:r>
        <w:r>
          <w:rPr>
            <w:noProof/>
            <w:webHidden/>
          </w:rPr>
        </w:r>
        <w:r>
          <w:rPr>
            <w:noProof/>
            <w:webHidden/>
          </w:rPr>
          <w:fldChar w:fldCharType="separate"/>
        </w:r>
        <w:r w:rsidR="00AD136C">
          <w:rPr>
            <w:noProof/>
            <w:webHidden/>
          </w:rPr>
          <w:t>55</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6" w:history="1">
        <w:r w:rsidR="00566DB4" w:rsidRPr="001F0277">
          <w:rPr>
            <w:rStyle w:val="Hipercze"/>
            <w:noProof/>
          </w:rPr>
          <w:t>Wykres 10 Szacowana redukcja emisji pyłu zawieszonego PM10, przy podjęciu kolejnych działań modernizacyjnych.</w:t>
        </w:r>
        <w:r w:rsidR="00566DB4">
          <w:rPr>
            <w:noProof/>
            <w:webHidden/>
          </w:rPr>
          <w:tab/>
        </w:r>
        <w:r>
          <w:rPr>
            <w:noProof/>
            <w:webHidden/>
          </w:rPr>
          <w:fldChar w:fldCharType="begin"/>
        </w:r>
        <w:r w:rsidR="00566DB4">
          <w:rPr>
            <w:noProof/>
            <w:webHidden/>
          </w:rPr>
          <w:instrText xml:space="preserve"> PAGEREF _Toc535786976 \h </w:instrText>
        </w:r>
        <w:r>
          <w:rPr>
            <w:noProof/>
            <w:webHidden/>
          </w:rPr>
        </w:r>
        <w:r>
          <w:rPr>
            <w:noProof/>
            <w:webHidden/>
          </w:rPr>
          <w:fldChar w:fldCharType="separate"/>
        </w:r>
        <w:r w:rsidR="00AD136C">
          <w:rPr>
            <w:noProof/>
            <w:webHidden/>
          </w:rPr>
          <w:t>70</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7" w:history="1">
        <w:r w:rsidR="00566DB4" w:rsidRPr="001F0277">
          <w:rPr>
            <w:rStyle w:val="Hipercze"/>
            <w:noProof/>
          </w:rPr>
          <w:t>Wykres 11 Szacowana redukcja emisji pyłu zawieszonego PM2.5, przy podjęciu działań modernizacyjnych.</w:t>
        </w:r>
        <w:r w:rsidR="00566DB4">
          <w:rPr>
            <w:noProof/>
            <w:webHidden/>
          </w:rPr>
          <w:tab/>
        </w:r>
        <w:r>
          <w:rPr>
            <w:noProof/>
            <w:webHidden/>
          </w:rPr>
          <w:fldChar w:fldCharType="begin"/>
        </w:r>
        <w:r w:rsidR="00566DB4">
          <w:rPr>
            <w:noProof/>
            <w:webHidden/>
          </w:rPr>
          <w:instrText xml:space="preserve"> PAGEREF _Toc535786977 \h </w:instrText>
        </w:r>
        <w:r>
          <w:rPr>
            <w:noProof/>
            <w:webHidden/>
          </w:rPr>
        </w:r>
        <w:r>
          <w:rPr>
            <w:noProof/>
            <w:webHidden/>
          </w:rPr>
          <w:fldChar w:fldCharType="separate"/>
        </w:r>
        <w:r w:rsidR="00AD136C">
          <w:rPr>
            <w:noProof/>
            <w:webHidden/>
          </w:rPr>
          <w:t>71</w:t>
        </w:r>
        <w:r>
          <w:rPr>
            <w:noProof/>
            <w:webHidden/>
          </w:rPr>
          <w:fldChar w:fldCharType="end"/>
        </w:r>
      </w:hyperlink>
    </w:p>
    <w:p w:rsidR="00566DB4" w:rsidRDefault="00135E52">
      <w:pPr>
        <w:pStyle w:val="Spisilustracji"/>
        <w:tabs>
          <w:tab w:val="right" w:leader="dot" w:pos="9062"/>
        </w:tabs>
        <w:rPr>
          <w:rFonts w:asciiTheme="minorHAnsi" w:hAnsiTheme="minorHAnsi"/>
          <w:noProof/>
          <w:sz w:val="22"/>
        </w:rPr>
      </w:pPr>
      <w:hyperlink w:anchor="_Toc535786978" w:history="1">
        <w:r w:rsidR="00566DB4" w:rsidRPr="001F0277">
          <w:rPr>
            <w:rStyle w:val="Hipercze"/>
            <w:noProof/>
          </w:rPr>
          <w:t>Wykres 12 Ograniczenie  zużycia energii cieplnej wskutek realizacji PONE [MWh/rok].</w:t>
        </w:r>
        <w:r w:rsidR="00566DB4">
          <w:rPr>
            <w:noProof/>
            <w:webHidden/>
          </w:rPr>
          <w:tab/>
        </w:r>
        <w:r>
          <w:rPr>
            <w:noProof/>
            <w:webHidden/>
          </w:rPr>
          <w:fldChar w:fldCharType="begin"/>
        </w:r>
        <w:r w:rsidR="00566DB4">
          <w:rPr>
            <w:noProof/>
            <w:webHidden/>
          </w:rPr>
          <w:instrText xml:space="preserve"> PAGEREF _Toc535786978 \h </w:instrText>
        </w:r>
        <w:r>
          <w:rPr>
            <w:noProof/>
            <w:webHidden/>
          </w:rPr>
        </w:r>
        <w:r>
          <w:rPr>
            <w:noProof/>
            <w:webHidden/>
          </w:rPr>
          <w:fldChar w:fldCharType="separate"/>
        </w:r>
        <w:r w:rsidR="00AD136C">
          <w:rPr>
            <w:noProof/>
            <w:webHidden/>
          </w:rPr>
          <w:t>73</w:t>
        </w:r>
        <w:r>
          <w:rPr>
            <w:noProof/>
            <w:webHidden/>
          </w:rPr>
          <w:fldChar w:fldCharType="end"/>
        </w:r>
      </w:hyperlink>
    </w:p>
    <w:p w:rsidR="00C912AF" w:rsidRDefault="00135E52" w:rsidP="006235FA">
      <w:r>
        <w:fldChar w:fldCharType="end"/>
      </w:r>
    </w:p>
    <w:p w:rsidR="00C912AF" w:rsidRDefault="00C912AF" w:rsidP="00C912AF">
      <w:pPr>
        <w:pStyle w:val="Styl1"/>
      </w:pPr>
      <w:bookmarkStart w:id="260" w:name="_Toc535233367"/>
      <w:r>
        <w:t>Spis Rysunków</w:t>
      </w:r>
      <w:bookmarkEnd w:id="260"/>
    </w:p>
    <w:p w:rsidR="00950CC7" w:rsidRDefault="00135E52">
      <w:pPr>
        <w:pStyle w:val="Spisilustracji"/>
        <w:tabs>
          <w:tab w:val="right" w:leader="dot" w:pos="9062"/>
        </w:tabs>
        <w:rPr>
          <w:rFonts w:asciiTheme="minorHAnsi" w:hAnsiTheme="minorHAnsi"/>
          <w:noProof/>
          <w:sz w:val="22"/>
        </w:rPr>
      </w:pPr>
      <w:r>
        <w:fldChar w:fldCharType="begin"/>
      </w:r>
      <w:r w:rsidR="00C912AF">
        <w:instrText xml:space="preserve"> TOC \h \z \c "Rysunek" </w:instrText>
      </w:r>
      <w:r>
        <w:fldChar w:fldCharType="separate"/>
      </w:r>
      <w:hyperlink w:anchor="_Toc532369574" w:history="1">
        <w:r w:rsidR="00950CC7" w:rsidRPr="00415A3B">
          <w:rPr>
            <w:rStyle w:val="Hipercze"/>
            <w:noProof/>
          </w:rPr>
          <w:t>Rysunek 1 Położenie Miasta Mława. Źródło Google Maps.</w:t>
        </w:r>
        <w:r w:rsidR="00950CC7">
          <w:rPr>
            <w:noProof/>
            <w:webHidden/>
          </w:rPr>
          <w:tab/>
        </w:r>
        <w:r>
          <w:rPr>
            <w:noProof/>
            <w:webHidden/>
          </w:rPr>
          <w:fldChar w:fldCharType="begin"/>
        </w:r>
        <w:r w:rsidR="00950CC7">
          <w:rPr>
            <w:noProof/>
            <w:webHidden/>
          </w:rPr>
          <w:instrText xml:space="preserve"> PAGEREF _Toc532369574 \h </w:instrText>
        </w:r>
        <w:r>
          <w:rPr>
            <w:noProof/>
            <w:webHidden/>
          </w:rPr>
        </w:r>
        <w:r>
          <w:rPr>
            <w:noProof/>
            <w:webHidden/>
          </w:rPr>
          <w:fldChar w:fldCharType="separate"/>
        </w:r>
        <w:r w:rsidR="00AD136C">
          <w:rPr>
            <w:noProof/>
            <w:webHidden/>
          </w:rPr>
          <w:t>27</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75" w:history="1">
        <w:r w:rsidR="00950CC7" w:rsidRPr="00415A3B">
          <w:rPr>
            <w:rStyle w:val="Hipercze"/>
            <w:noProof/>
          </w:rPr>
          <w:t>Rysunek 2 Roczna ocena jakości powietrza w roku 2017 pod względem BaP w granicach Miasta Mława. Źródło: Modelowanie na potrzeby ocen GIOŚ.</w:t>
        </w:r>
        <w:r w:rsidR="00950CC7">
          <w:rPr>
            <w:noProof/>
            <w:webHidden/>
          </w:rPr>
          <w:tab/>
        </w:r>
        <w:r>
          <w:rPr>
            <w:noProof/>
            <w:webHidden/>
          </w:rPr>
          <w:fldChar w:fldCharType="begin"/>
        </w:r>
        <w:r w:rsidR="00950CC7">
          <w:rPr>
            <w:noProof/>
            <w:webHidden/>
          </w:rPr>
          <w:instrText xml:space="preserve"> PAGEREF _Toc532369575 \h </w:instrText>
        </w:r>
        <w:r>
          <w:rPr>
            <w:noProof/>
            <w:webHidden/>
          </w:rPr>
        </w:r>
        <w:r>
          <w:rPr>
            <w:noProof/>
            <w:webHidden/>
          </w:rPr>
          <w:fldChar w:fldCharType="separate"/>
        </w:r>
        <w:r w:rsidR="00AD136C">
          <w:rPr>
            <w:noProof/>
            <w:webHidden/>
          </w:rPr>
          <w:t>36</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76" w:history="1">
        <w:r w:rsidR="00950CC7" w:rsidRPr="00415A3B">
          <w:rPr>
            <w:rStyle w:val="Hipercze"/>
            <w:noProof/>
          </w:rPr>
          <w:t>Rysunek 3 Roczna ocena jakości powietrza w roku 2017 pod względem PM10 (36 Max) w granicach Miasta Mława. Źródło: Modelowanie na potrzeby ocen GIOŚ.</w:t>
        </w:r>
        <w:r w:rsidR="00950CC7">
          <w:rPr>
            <w:noProof/>
            <w:webHidden/>
          </w:rPr>
          <w:tab/>
        </w:r>
        <w:r>
          <w:rPr>
            <w:noProof/>
            <w:webHidden/>
          </w:rPr>
          <w:fldChar w:fldCharType="begin"/>
        </w:r>
        <w:r w:rsidR="00950CC7">
          <w:rPr>
            <w:noProof/>
            <w:webHidden/>
          </w:rPr>
          <w:instrText xml:space="preserve"> PAGEREF _Toc532369576 \h </w:instrText>
        </w:r>
        <w:r>
          <w:rPr>
            <w:noProof/>
            <w:webHidden/>
          </w:rPr>
        </w:r>
        <w:r>
          <w:rPr>
            <w:noProof/>
            <w:webHidden/>
          </w:rPr>
          <w:fldChar w:fldCharType="separate"/>
        </w:r>
        <w:r w:rsidR="00AD136C">
          <w:rPr>
            <w:noProof/>
            <w:webHidden/>
          </w:rPr>
          <w:t>38</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77" w:history="1">
        <w:r w:rsidR="00950CC7" w:rsidRPr="00415A3B">
          <w:rPr>
            <w:rStyle w:val="Hipercze"/>
            <w:noProof/>
          </w:rPr>
          <w:t>Rysunek 4 Roczna ocena jakości powietrza w roku 2017 pod względem PM2,5 w granicach Miasta Mława. Źródło: Modelowanie na potrzeby ocen GIOŚ.</w:t>
        </w:r>
        <w:r w:rsidR="00950CC7">
          <w:rPr>
            <w:noProof/>
            <w:webHidden/>
          </w:rPr>
          <w:tab/>
        </w:r>
        <w:r>
          <w:rPr>
            <w:noProof/>
            <w:webHidden/>
          </w:rPr>
          <w:fldChar w:fldCharType="begin"/>
        </w:r>
        <w:r w:rsidR="00950CC7">
          <w:rPr>
            <w:noProof/>
            <w:webHidden/>
          </w:rPr>
          <w:instrText xml:space="preserve"> PAGEREF _Toc532369577 \h </w:instrText>
        </w:r>
        <w:r>
          <w:rPr>
            <w:noProof/>
            <w:webHidden/>
          </w:rPr>
        </w:r>
        <w:r>
          <w:rPr>
            <w:noProof/>
            <w:webHidden/>
          </w:rPr>
          <w:fldChar w:fldCharType="separate"/>
        </w:r>
        <w:r w:rsidR="00AD136C">
          <w:rPr>
            <w:noProof/>
            <w:webHidden/>
          </w:rPr>
          <w:t>39</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78" w:history="1">
        <w:r w:rsidR="00950CC7" w:rsidRPr="00415A3B">
          <w:rPr>
            <w:rStyle w:val="Hipercze"/>
            <w:noProof/>
          </w:rPr>
          <w:t>Rysunek 5 Rozkład stężeń benzo(a)pirenu – stężenia roczne w 2017 r. za: Roczna Ocena Jakości Powietrza w województwie mazowieckim. Raport za rok 2017.</w:t>
        </w:r>
        <w:r w:rsidR="00950CC7">
          <w:rPr>
            <w:noProof/>
            <w:webHidden/>
          </w:rPr>
          <w:tab/>
        </w:r>
        <w:r>
          <w:rPr>
            <w:noProof/>
            <w:webHidden/>
          </w:rPr>
          <w:fldChar w:fldCharType="begin"/>
        </w:r>
        <w:r w:rsidR="00950CC7">
          <w:rPr>
            <w:noProof/>
            <w:webHidden/>
          </w:rPr>
          <w:instrText xml:space="preserve"> PAGEREF _Toc532369578 \h </w:instrText>
        </w:r>
        <w:r>
          <w:rPr>
            <w:noProof/>
            <w:webHidden/>
          </w:rPr>
        </w:r>
        <w:r>
          <w:rPr>
            <w:noProof/>
            <w:webHidden/>
          </w:rPr>
          <w:fldChar w:fldCharType="separate"/>
        </w:r>
        <w:r w:rsidR="00AD136C">
          <w:rPr>
            <w:noProof/>
            <w:webHidden/>
          </w:rPr>
          <w:t>41</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79" w:history="1">
        <w:r w:rsidR="00950CC7" w:rsidRPr="00415A3B">
          <w:rPr>
            <w:rStyle w:val="Hipercze"/>
            <w:noProof/>
          </w:rPr>
          <w:t>Rysunek 6 Rozkład stężeń PM10-24h (36-te maksimum w roku) na obszarze województwa mazowieckiego, cel: ochrona zdrowia (rok 2017). Za: raport za rok 2017.</w:t>
        </w:r>
        <w:r w:rsidR="00950CC7">
          <w:rPr>
            <w:noProof/>
            <w:webHidden/>
          </w:rPr>
          <w:tab/>
        </w:r>
        <w:r>
          <w:rPr>
            <w:noProof/>
            <w:webHidden/>
          </w:rPr>
          <w:fldChar w:fldCharType="begin"/>
        </w:r>
        <w:r w:rsidR="00950CC7">
          <w:rPr>
            <w:noProof/>
            <w:webHidden/>
          </w:rPr>
          <w:instrText xml:space="preserve"> PAGEREF _Toc532369579 \h </w:instrText>
        </w:r>
        <w:r>
          <w:rPr>
            <w:noProof/>
            <w:webHidden/>
          </w:rPr>
        </w:r>
        <w:r>
          <w:rPr>
            <w:noProof/>
            <w:webHidden/>
          </w:rPr>
          <w:fldChar w:fldCharType="separate"/>
        </w:r>
        <w:r w:rsidR="00AD136C">
          <w:rPr>
            <w:noProof/>
            <w:webHidden/>
          </w:rPr>
          <w:t>43</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80" w:history="1">
        <w:r w:rsidR="00950CC7" w:rsidRPr="00415A3B">
          <w:rPr>
            <w:rStyle w:val="Hipercze"/>
            <w:noProof/>
          </w:rPr>
          <w:t>Rysunek 7 Rozkład stężeń PM2,5-rok na obszarze województwa mazowieckiego, cel: ochrona zdrowia (rok 2017) (źródło: GIOŚ) za: Roczna Ocena Jakości Powietrza w województwie mazowieckim. Raport za rok 2017.</w:t>
        </w:r>
        <w:r w:rsidR="00950CC7">
          <w:rPr>
            <w:noProof/>
            <w:webHidden/>
          </w:rPr>
          <w:tab/>
        </w:r>
        <w:r>
          <w:rPr>
            <w:noProof/>
            <w:webHidden/>
          </w:rPr>
          <w:fldChar w:fldCharType="begin"/>
        </w:r>
        <w:r w:rsidR="00950CC7">
          <w:rPr>
            <w:noProof/>
            <w:webHidden/>
          </w:rPr>
          <w:instrText xml:space="preserve"> PAGEREF _Toc532369580 \h </w:instrText>
        </w:r>
        <w:r>
          <w:rPr>
            <w:noProof/>
            <w:webHidden/>
          </w:rPr>
        </w:r>
        <w:r>
          <w:rPr>
            <w:noProof/>
            <w:webHidden/>
          </w:rPr>
          <w:fldChar w:fldCharType="separate"/>
        </w:r>
        <w:r w:rsidR="00AD136C">
          <w:rPr>
            <w:noProof/>
            <w:webHidden/>
          </w:rPr>
          <w:t>44</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81" w:history="1">
        <w:r w:rsidR="00950CC7" w:rsidRPr="00415A3B">
          <w:rPr>
            <w:rStyle w:val="Hipercze"/>
            <w:noProof/>
          </w:rPr>
          <w:t>Rysunek 8 Rozkład liczby dni z przekroczeniem poziomu docelowego O3 (120 μg/m3) na obszarze województwa mazowieckiego cel: ochrona zdrowia (poziom docelowy – średnia z lat 2015-2017) (źródło: GIOŚ). Raport za rok 2017.</w:t>
        </w:r>
        <w:r w:rsidR="00950CC7">
          <w:rPr>
            <w:noProof/>
            <w:webHidden/>
          </w:rPr>
          <w:tab/>
        </w:r>
        <w:r>
          <w:rPr>
            <w:noProof/>
            <w:webHidden/>
          </w:rPr>
          <w:fldChar w:fldCharType="begin"/>
        </w:r>
        <w:r w:rsidR="00950CC7">
          <w:rPr>
            <w:noProof/>
            <w:webHidden/>
          </w:rPr>
          <w:instrText xml:space="preserve"> PAGEREF _Toc532369581 \h </w:instrText>
        </w:r>
        <w:r>
          <w:rPr>
            <w:noProof/>
            <w:webHidden/>
          </w:rPr>
        </w:r>
        <w:r>
          <w:rPr>
            <w:noProof/>
            <w:webHidden/>
          </w:rPr>
          <w:fldChar w:fldCharType="separate"/>
        </w:r>
        <w:r w:rsidR="00AD136C">
          <w:rPr>
            <w:noProof/>
            <w:webHidden/>
          </w:rPr>
          <w:t>45</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82" w:history="1">
        <w:r w:rsidR="00950CC7" w:rsidRPr="00415A3B">
          <w:rPr>
            <w:rStyle w:val="Hipercze"/>
            <w:noProof/>
          </w:rPr>
          <w:t>Rysunek 9 Rozkład stężeń NO2-rok na obszarze województwa mazowieckiego, cel: ochrona zdrowia (rok 2017) (źródło: GIOŚ) za: Roczna Ocena Jakości Powietrza w województwie mazowieckim. Raport za rok 2017.</w:t>
        </w:r>
        <w:r w:rsidR="00950CC7">
          <w:rPr>
            <w:noProof/>
            <w:webHidden/>
          </w:rPr>
          <w:tab/>
        </w:r>
        <w:r>
          <w:rPr>
            <w:noProof/>
            <w:webHidden/>
          </w:rPr>
          <w:fldChar w:fldCharType="begin"/>
        </w:r>
        <w:r w:rsidR="00950CC7">
          <w:rPr>
            <w:noProof/>
            <w:webHidden/>
          </w:rPr>
          <w:instrText xml:space="preserve"> PAGEREF _Toc532369582 \h </w:instrText>
        </w:r>
        <w:r>
          <w:rPr>
            <w:noProof/>
            <w:webHidden/>
          </w:rPr>
        </w:r>
        <w:r>
          <w:rPr>
            <w:noProof/>
            <w:webHidden/>
          </w:rPr>
          <w:fldChar w:fldCharType="separate"/>
        </w:r>
        <w:r w:rsidR="00AD136C">
          <w:rPr>
            <w:noProof/>
            <w:webHidden/>
          </w:rPr>
          <w:t>47</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83" w:history="1">
        <w:r w:rsidR="00950CC7" w:rsidRPr="00415A3B">
          <w:rPr>
            <w:rStyle w:val="Hipercze"/>
            <w:noProof/>
          </w:rPr>
          <w:t>Rysunek 10 Rozkład stężeń SO2-1h (25-te maksimum w roku) na obszarze województwa mazowieckiego, cel: ochrona zdrowia (rok 2017) za: Roczna Ocena Jakości Powietrza w województwie mazowieckim. Raport za rok 2017.</w:t>
        </w:r>
        <w:r w:rsidR="00950CC7">
          <w:rPr>
            <w:noProof/>
            <w:webHidden/>
          </w:rPr>
          <w:tab/>
        </w:r>
        <w:r>
          <w:rPr>
            <w:noProof/>
            <w:webHidden/>
          </w:rPr>
          <w:fldChar w:fldCharType="begin"/>
        </w:r>
        <w:r w:rsidR="00950CC7">
          <w:rPr>
            <w:noProof/>
            <w:webHidden/>
          </w:rPr>
          <w:instrText xml:space="preserve"> PAGEREF _Toc532369583 \h </w:instrText>
        </w:r>
        <w:r>
          <w:rPr>
            <w:noProof/>
            <w:webHidden/>
          </w:rPr>
        </w:r>
        <w:r>
          <w:rPr>
            <w:noProof/>
            <w:webHidden/>
          </w:rPr>
          <w:fldChar w:fldCharType="separate"/>
        </w:r>
        <w:r w:rsidR="00AD136C">
          <w:rPr>
            <w:noProof/>
            <w:webHidden/>
          </w:rPr>
          <w:t>48</w:t>
        </w:r>
        <w:r>
          <w:rPr>
            <w:noProof/>
            <w:webHidden/>
          </w:rPr>
          <w:fldChar w:fldCharType="end"/>
        </w:r>
      </w:hyperlink>
    </w:p>
    <w:p w:rsidR="00950CC7" w:rsidRDefault="00135E52">
      <w:pPr>
        <w:pStyle w:val="Spisilustracji"/>
        <w:tabs>
          <w:tab w:val="right" w:leader="dot" w:pos="9062"/>
        </w:tabs>
        <w:rPr>
          <w:rFonts w:asciiTheme="minorHAnsi" w:hAnsiTheme="minorHAnsi"/>
          <w:noProof/>
          <w:sz w:val="22"/>
        </w:rPr>
      </w:pPr>
      <w:hyperlink w:anchor="_Toc532369584" w:history="1">
        <w:r w:rsidR="00950CC7" w:rsidRPr="00415A3B">
          <w:rPr>
            <w:rStyle w:val="Hipercze"/>
            <w:noProof/>
          </w:rPr>
          <w:t>Rysunek 11 Standardy emisyjne dla kotłów grzewczych.</w:t>
        </w:r>
        <w:r w:rsidR="00950CC7">
          <w:rPr>
            <w:noProof/>
            <w:webHidden/>
          </w:rPr>
          <w:tab/>
        </w:r>
        <w:r>
          <w:rPr>
            <w:noProof/>
            <w:webHidden/>
          </w:rPr>
          <w:fldChar w:fldCharType="begin"/>
        </w:r>
        <w:r w:rsidR="00950CC7">
          <w:rPr>
            <w:noProof/>
            <w:webHidden/>
          </w:rPr>
          <w:instrText xml:space="preserve"> PAGEREF _Toc532369584 \h </w:instrText>
        </w:r>
        <w:r>
          <w:rPr>
            <w:noProof/>
            <w:webHidden/>
          </w:rPr>
        </w:r>
        <w:r>
          <w:rPr>
            <w:noProof/>
            <w:webHidden/>
          </w:rPr>
          <w:fldChar w:fldCharType="separate"/>
        </w:r>
        <w:r w:rsidR="00AD136C">
          <w:rPr>
            <w:noProof/>
            <w:webHidden/>
          </w:rPr>
          <w:t>58</w:t>
        </w:r>
        <w:r>
          <w:rPr>
            <w:noProof/>
            <w:webHidden/>
          </w:rPr>
          <w:fldChar w:fldCharType="end"/>
        </w:r>
      </w:hyperlink>
    </w:p>
    <w:p w:rsidR="00C912AF" w:rsidRPr="00FB2878" w:rsidRDefault="00135E52" w:rsidP="006235FA">
      <w:r>
        <w:fldChar w:fldCharType="end"/>
      </w:r>
    </w:p>
    <w:sectPr w:rsidR="00C912AF" w:rsidRPr="00FB2878" w:rsidSect="00024CAC">
      <w:headerReference w:type="defaul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5B4" w:rsidRDefault="001065B4" w:rsidP="00F5228A">
      <w:pPr>
        <w:spacing w:after="0" w:line="240" w:lineRule="auto"/>
      </w:pPr>
      <w:r>
        <w:separator/>
      </w:r>
    </w:p>
  </w:endnote>
  <w:endnote w:type="continuationSeparator" w:id="1">
    <w:p w:rsidR="001065B4" w:rsidRDefault="001065B4" w:rsidP="00F52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AR JULIAN">
    <w:altName w:val="Cambria"/>
    <w:charset w:val="00"/>
    <w:family w:val="auto"/>
    <w:pitch w:val="variable"/>
    <w:sig w:usb0="8000002F" w:usb1="0000000A"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roman"/>
    <w:pitch w:val="default"/>
    <w:sig w:usb0="00000007" w:usb1="00000000" w:usb2="00000000" w:usb3="00000000" w:csb0="00000003"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767230"/>
      <w:docPartObj>
        <w:docPartGallery w:val="Page Numbers (Bottom of Page)"/>
        <w:docPartUnique/>
      </w:docPartObj>
    </w:sdtPr>
    <w:sdtContent>
      <w:p w:rsidR="00C13FF9" w:rsidRDefault="00135E52">
        <w:pPr>
          <w:pStyle w:val="Stopka"/>
          <w:jc w:val="right"/>
        </w:pPr>
        <w:r>
          <w:fldChar w:fldCharType="begin"/>
        </w:r>
        <w:r w:rsidR="00C13FF9">
          <w:instrText>PAGE   \* MERGEFORMAT</w:instrText>
        </w:r>
        <w:r>
          <w:fldChar w:fldCharType="separate"/>
        </w:r>
        <w:r w:rsidR="00AC686B">
          <w:rPr>
            <w:noProof/>
          </w:rPr>
          <w:t>73</w:t>
        </w:r>
        <w:r>
          <w:fldChar w:fldCharType="end"/>
        </w:r>
      </w:p>
    </w:sdtContent>
  </w:sdt>
  <w:p w:rsidR="00C13FF9" w:rsidRDefault="00C13FF9" w:rsidP="007D55DC">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F9" w:rsidRDefault="00C13FF9" w:rsidP="007D55DC">
    <w:pPr>
      <w:pStyle w:val="Stopka"/>
      <w:jc w:val="center"/>
    </w:pPr>
    <w:r>
      <w:t>Mława, 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652329"/>
      <w:docPartObj>
        <w:docPartGallery w:val="Page Numbers (Bottom of Page)"/>
        <w:docPartUnique/>
      </w:docPartObj>
    </w:sdtPr>
    <w:sdtContent>
      <w:p w:rsidR="00C13FF9" w:rsidRDefault="00135E52">
        <w:pPr>
          <w:pStyle w:val="Stopka"/>
          <w:jc w:val="right"/>
        </w:pPr>
        <w:r>
          <w:fldChar w:fldCharType="begin"/>
        </w:r>
        <w:r w:rsidR="00C13FF9">
          <w:instrText>PAGE   \* MERGEFORMAT</w:instrText>
        </w:r>
        <w:r>
          <w:fldChar w:fldCharType="separate"/>
        </w:r>
        <w:r w:rsidR="00AC686B">
          <w:rPr>
            <w:noProof/>
          </w:rPr>
          <w:t>96</w:t>
        </w:r>
        <w:r>
          <w:fldChar w:fldCharType="end"/>
        </w:r>
      </w:p>
    </w:sdtContent>
  </w:sdt>
  <w:p w:rsidR="00C13FF9" w:rsidRDefault="00C13FF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F9" w:rsidRDefault="00C13FF9" w:rsidP="00C87C82">
    <w:pPr>
      <w:pStyle w:val="Stopka"/>
      <w:jc w:val="left"/>
    </w:pPr>
    <w:r>
      <w:tab/>
    </w:r>
  </w:p>
  <w:p w:rsidR="00C13FF9" w:rsidRDefault="00C13FF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F9" w:rsidRPr="00F5228A" w:rsidRDefault="00C13FF9" w:rsidP="00F5228A">
    <w:pPr>
      <w:pStyle w:val="Stopka"/>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5B4" w:rsidRDefault="001065B4" w:rsidP="00F5228A">
      <w:pPr>
        <w:spacing w:after="0" w:line="240" w:lineRule="auto"/>
      </w:pPr>
      <w:r>
        <w:separator/>
      </w:r>
    </w:p>
  </w:footnote>
  <w:footnote w:type="continuationSeparator" w:id="1">
    <w:p w:rsidR="001065B4" w:rsidRDefault="001065B4" w:rsidP="00F5228A">
      <w:pPr>
        <w:spacing w:after="0" w:line="240" w:lineRule="auto"/>
      </w:pPr>
      <w:r>
        <w:continuationSeparator/>
      </w:r>
    </w:p>
  </w:footnote>
  <w:footnote w:id="2">
    <w:p w:rsidR="00C13FF9" w:rsidRPr="00CC7B3D" w:rsidRDefault="00C13FF9" w:rsidP="00D65E9A">
      <w:pPr>
        <w:pStyle w:val="Tekstprzypisudolnego"/>
        <w:rPr>
          <w:sz w:val="18"/>
          <w:szCs w:val="18"/>
        </w:rPr>
      </w:pPr>
      <w:r w:rsidRPr="00CC7B3D">
        <w:rPr>
          <w:rStyle w:val="Odwoanieprzypisudolnego"/>
        </w:rPr>
        <w:footnoteRef/>
      </w:r>
      <w:r w:rsidRPr="00CC7B3D">
        <w:rPr>
          <w:sz w:val="18"/>
          <w:szCs w:val="18"/>
        </w:rPr>
        <w:t xml:space="preserve"> Kaczmarczyk, M., (2015). Niska emisja – od przyczyn występowania do sposobów eliminacji. Kraków: Geosystem Burek, Kotyza s.c. s. 144.</w:t>
      </w:r>
    </w:p>
  </w:footnote>
  <w:footnote w:id="3">
    <w:p w:rsidR="00C13FF9" w:rsidRPr="00CC7B3D" w:rsidRDefault="00C13FF9" w:rsidP="00D65E9A">
      <w:pPr>
        <w:rPr>
          <w:sz w:val="18"/>
          <w:szCs w:val="18"/>
        </w:rPr>
      </w:pPr>
      <w:r w:rsidRPr="00CC7B3D">
        <w:rPr>
          <w:rStyle w:val="Odwoanieprzypisudolnego"/>
        </w:rPr>
        <w:footnoteRef/>
      </w:r>
      <w:r w:rsidRPr="00CC7B3D">
        <w:rPr>
          <w:sz w:val="18"/>
          <w:szCs w:val="18"/>
        </w:rPr>
        <w:t xml:space="preserve"> Mirowski, T. i Orzechowska, M. (2015). Wykorzystanie paliw biomasowych w ogrzewnictwie indywidualnym na obszarach zagrożonych niską emisją. </w:t>
      </w:r>
      <w:r w:rsidRPr="00CC7B3D">
        <w:rPr>
          <w:i/>
          <w:sz w:val="18"/>
          <w:szCs w:val="18"/>
        </w:rPr>
        <w:t>Polityka Energetyczna – Energy Policy Journal</w:t>
      </w:r>
      <w:r w:rsidRPr="00CC7B3D">
        <w:rPr>
          <w:sz w:val="18"/>
          <w:szCs w:val="18"/>
        </w:rPr>
        <w:t xml:space="preserve"> t. 18, z. 4, s.75–88</w:t>
      </w:r>
    </w:p>
  </w:footnote>
  <w:footnote w:id="4">
    <w:p w:rsidR="00C13FF9" w:rsidRDefault="00C13FF9" w:rsidP="00D65E9A">
      <w:r w:rsidRPr="00CC7B3D">
        <w:rPr>
          <w:rStyle w:val="Odwoanieprzypisudolnego"/>
        </w:rPr>
        <w:footnoteRef/>
      </w:r>
      <w:r w:rsidRPr="00CC7B3D">
        <w:rPr>
          <w:rFonts w:cs="Arial"/>
          <w:color w:val="222222"/>
          <w:sz w:val="18"/>
          <w:szCs w:val="18"/>
          <w:shd w:val="clear" w:color="auto" w:fill="FFFFFF"/>
        </w:rPr>
        <w:t>Mirowski, T., Maczuga, R. (2017). Regulacje prawne w sektorze gospodarstw domowych w Polsce w zakresie użytkowania paliw stałych i kotłów do 500 kW. </w:t>
      </w:r>
      <w:r w:rsidRPr="00CC7B3D">
        <w:rPr>
          <w:rFonts w:cs="Arial"/>
          <w:i/>
          <w:iCs/>
          <w:color w:val="222222"/>
          <w:sz w:val="18"/>
          <w:szCs w:val="18"/>
          <w:shd w:val="clear" w:color="auto" w:fill="FFFFFF"/>
        </w:rPr>
        <w:t>Zeszyty Naukowe Instytutu Gospodarki Surowcami Mineralnymi i Energią PAN</w:t>
      </w:r>
      <w:r w:rsidRPr="00CC7B3D">
        <w:rPr>
          <w:rFonts w:cs="Arial"/>
          <w:color w:val="222222"/>
          <w:sz w:val="18"/>
          <w:szCs w:val="18"/>
          <w:shd w:val="clear" w:color="auto" w:fill="FFFFFF"/>
        </w:rPr>
        <w:t>.</w:t>
      </w:r>
    </w:p>
  </w:footnote>
  <w:footnote w:id="5">
    <w:p w:rsidR="00C13FF9" w:rsidRPr="00BB2594" w:rsidRDefault="00C13FF9" w:rsidP="00D65E9A">
      <w:pPr>
        <w:spacing w:line="276" w:lineRule="auto"/>
        <w:rPr>
          <w:rFonts w:cstheme="majorHAnsi"/>
          <w:sz w:val="18"/>
          <w:szCs w:val="18"/>
        </w:rPr>
      </w:pPr>
      <w:r w:rsidRPr="00BB2594">
        <w:rPr>
          <w:rStyle w:val="Odwoanieprzypisudolnego"/>
        </w:rPr>
        <w:footnoteRef/>
      </w:r>
      <w:r w:rsidRPr="00215F42">
        <w:rPr>
          <w:sz w:val="18"/>
          <w:szCs w:val="18"/>
        </w:rPr>
        <w:t>Rozporządzenie Komisji (UE) 2015/1189 z dnia 28 kwietnia 2015 r. w sprawie wykonania dyrektywy Parlamentu Europejskiego i Rady 2009/125/WE (Dz. U. UE L 193 z 21.7.2015, str. 100, z późn. zm.) w odniesieniu do wymogów dotyczących ekoprojektu dla kotłów na paliwo stałe.</w:t>
      </w:r>
    </w:p>
  </w:footnote>
  <w:footnote w:id="6">
    <w:p w:rsidR="00C13FF9" w:rsidRPr="00075385" w:rsidRDefault="00C13FF9">
      <w:pPr>
        <w:pStyle w:val="Tekstprzypisudolnego"/>
        <w:rPr>
          <w:sz w:val="22"/>
          <w:szCs w:val="22"/>
        </w:rPr>
      </w:pPr>
      <w:r w:rsidRPr="00075385">
        <w:rPr>
          <w:rStyle w:val="Odwoanieprzypisudolnego"/>
          <w:sz w:val="22"/>
          <w:szCs w:val="22"/>
        </w:rPr>
        <w:footnoteRef/>
      </w:r>
      <w:bookmarkStart w:id="137" w:name="_Hlk530728525"/>
      <w:r w:rsidRPr="00075385">
        <w:rPr>
          <w:sz w:val="22"/>
          <w:szCs w:val="22"/>
        </w:rPr>
        <w:t xml:space="preserve">źródło map dla terenów Miasta Mława z: </w:t>
      </w:r>
      <w:r w:rsidRPr="00075385">
        <w:rPr>
          <w:i/>
          <w:sz w:val="22"/>
          <w:szCs w:val="22"/>
        </w:rPr>
        <w:t>http://powietrze.gios.gov.pl/pjp/maps/modeling</w:t>
      </w:r>
      <w:bookmarkEnd w:id="137"/>
    </w:p>
  </w:footnote>
  <w:footnote w:id="7">
    <w:p w:rsidR="00C13FF9" w:rsidRDefault="00C13FF9" w:rsidP="00F55BEF">
      <w:pPr>
        <w:pStyle w:val="Tekstprzypisudolnego"/>
      </w:pPr>
      <w:r>
        <w:rPr>
          <w:rStyle w:val="Odwoanieprzypisudolnego"/>
        </w:rPr>
        <w:footnoteRef/>
      </w:r>
      <w:r>
        <w:t xml:space="preserve"> Za: Założenia do planu zaopatrzenia w ciepło, energię elektryczną i paliwa gazowe dla obszaru Miasta Mława, Listopad 2017. </w:t>
      </w:r>
    </w:p>
  </w:footnote>
  <w:footnote w:id="8">
    <w:p w:rsidR="00C13FF9" w:rsidRPr="00D866D7" w:rsidRDefault="00C13FF9">
      <w:pPr>
        <w:pStyle w:val="Tekstprzypisudolnego"/>
        <w:rPr>
          <w:sz w:val="20"/>
        </w:rPr>
      </w:pPr>
      <w:r w:rsidRPr="00D866D7">
        <w:rPr>
          <w:rStyle w:val="Odwoanieprzypisudolnego"/>
          <w:sz w:val="20"/>
        </w:rPr>
        <w:footnoteRef/>
      </w:r>
      <w:r w:rsidRPr="00D866D7">
        <w:rPr>
          <w:sz w:val="20"/>
        </w:rPr>
        <w:t xml:space="preserve"> http://www.mlawa.pl/artykul/nie-pal-smieci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F9" w:rsidRPr="00202B38" w:rsidRDefault="00C13FF9" w:rsidP="007D55DC">
    <w:pPr>
      <w:pStyle w:val="Nagwek"/>
      <w:pBdr>
        <w:bottom w:val="single" w:sz="4" w:space="1" w:color="auto"/>
      </w:pBdr>
      <w:jc w:val="center"/>
      <w:rPr>
        <w:color w:val="215D4B" w:themeColor="accent4" w:themeShade="80"/>
        <w:sz w:val="20"/>
        <w:szCs w:val="20"/>
      </w:rPr>
    </w:pPr>
    <w:r w:rsidRPr="00CF30BB">
      <w:rPr>
        <w:color w:val="215D4B" w:themeColor="accent4" w:themeShade="80"/>
        <w:sz w:val="20"/>
        <w:szCs w:val="20"/>
      </w:rPr>
      <w:t>Program Ogranicz</w:t>
    </w:r>
    <w:r w:rsidR="007861DB">
      <w:rPr>
        <w:color w:val="215D4B" w:themeColor="accent4" w:themeShade="80"/>
        <w:sz w:val="20"/>
        <w:szCs w:val="20"/>
      </w:rPr>
      <w:t>a</w:t>
    </w:r>
    <w:r w:rsidRPr="00CF30BB">
      <w:rPr>
        <w:color w:val="215D4B" w:themeColor="accent4" w:themeShade="80"/>
        <w:sz w:val="20"/>
        <w:szCs w:val="20"/>
      </w:rPr>
      <w:t xml:space="preserve">nia NiskiejEmisji dla </w:t>
    </w:r>
    <w:r>
      <w:rPr>
        <w:color w:val="215D4B" w:themeColor="accent4" w:themeShade="80"/>
        <w:sz w:val="20"/>
        <w:szCs w:val="20"/>
      </w:rPr>
      <w:t xml:space="preserve">Miasta </w:t>
    </w:r>
    <w:r w:rsidRPr="00CF30BB">
      <w:rPr>
        <w:color w:val="215D4B" w:themeColor="accent4" w:themeShade="80"/>
        <w:sz w:val="20"/>
        <w:szCs w:val="20"/>
      </w:rPr>
      <w:t>Mława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F9" w:rsidRPr="005D19EC" w:rsidRDefault="00C13FF9" w:rsidP="00F5228A">
    <w:pPr>
      <w:pStyle w:val="Nagwek"/>
      <w:pBdr>
        <w:bottom w:val="single" w:sz="4" w:space="1" w:color="auto"/>
      </w:pBdr>
      <w:jc w:val="center"/>
      <w:rPr>
        <w:b/>
        <w:color w:val="2E653E" w:themeColor="accent5" w:themeShade="BF"/>
      </w:rPr>
    </w:pPr>
    <w:r w:rsidRPr="00F5228A">
      <w:rPr>
        <w:b/>
        <w:color w:val="305250" w:themeColor="accent6" w:themeShade="80"/>
      </w:rPr>
      <w:t>Program Ograniczenia Niskiej Emisji dla Miasta Mława</w:t>
    </w:r>
  </w:p>
  <w:p w:rsidR="00C13FF9" w:rsidRDefault="00C13FF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5581"/>
    <w:multiLevelType w:val="hybridMultilevel"/>
    <w:tmpl w:val="DEFC1E40"/>
    <w:lvl w:ilvl="0" w:tplc="E6D06464">
      <w:start w:val="1"/>
      <w:numFmt w:val="bullet"/>
      <w:lvlText w:val=""/>
      <w:lvlJc w:val="left"/>
      <w:pPr>
        <w:ind w:left="1065" w:hanging="705"/>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030451"/>
    <w:multiLevelType w:val="hybridMultilevel"/>
    <w:tmpl w:val="88BABB52"/>
    <w:lvl w:ilvl="0" w:tplc="9220831C">
      <w:start w:val="1"/>
      <w:numFmt w:val="bullet"/>
      <w:lvlText w:val=""/>
      <w:lvlJc w:val="left"/>
      <w:pPr>
        <w:ind w:left="720" w:hanging="360"/>
      </w:pPr>
      <w:rPr>
        <w:rFonts w:ascii="Wingdings" w:hAnsi="Wingdings" w:cs="Wingdings" w:hint="default"/>
        <w:color w:val="7EC492" w:themeColor="accent5" w:themeTint="99"/>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EF6EB3"/>
    <w:multiLevelType w:val="hybridMultilevel"/>
    <w:tmpl w:val="143C8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7C02F2"/>
    <w:multiLevelType w:val="hybridMultilevel"/>
    <w:tmpl w:val="37C4CF3E"/>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C77EE5"/>
    <w:multiLevelType w:val="hybridMultilevel"/>
    <w:tmpl w:val="C898F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55212C"/>
    <w:multiLevelType w:val="hybridMultilevel"/>
    <w:tmpl w:val="9D463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741131"/>
    <w:multiLevelType w:val="hybridMultilevel"/>
    <w:tmpl w:val="5E9CF54E"/>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8942A8"/>
    <w:multiLevelType w:val="hybridMultilevel"/>
    <w:tmpl w:val="D70EC1C2"/>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7E25B8"/>
    <w:multiLevelType w:val="hybridMultilevel"/>
    <w:tmpl w:val="5CEEA62C"/>
    <w:lvl w:ilvl="0" w:tplc="EDCC5BF0">
      <w:start w:val="1"/>
      <w:numFmt w:val="bullet"/>
      <w:lvlText w:val=""/>
      <w:lvlJc w:val="left"/>
      <w:pPr>
        <w:ind w:left="785" w:hanging="360"/>
      </w:pPr>
      <w:rPr>
        <w:rFonts w:ascii="Wingdings" w:hAnsi="Wingdings" w:cs="Wingdings" w:hint="default"/>
        <w:color w:val="2E653E" w:themeColor="accent5" w:themeShade="BF"/>
        <w:sz w:val="22"/>
        <w:szCs w:val="22"/>
      </w:rPr>
    </w:lvl>
    <w:lvl w:ilvl="1" w:tplc="1BACF586">
      <w:numFmt w:val="bullet"/>
      <w:lvlText w:val="•"/>
      <w:lvlJc w:val="left"/>
      <w:pPr>
        <w:ind w:left="1440" w:hanging="360"/>
      </w:pPr>
      <w:rPr>
        <w:rFonts w:ascii="Calibri Light" w:eastAsiaTheme="minorHAnsi" w:hAnsi="Calibri Light" w:cs="Calibri Ligh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AD4112"/>
    <w:multiLevelType w:val="hybridMultilevel"/>
    <w:tmpl w:val="E9E0D9E8"/>
    <w:lvl w:ilvl="0" w:tplc="9E42AFDA">
      <w:start w:val="1"/>
      <w:numFmt w:val="bullet"/>
      <w:lvlText w:val=""/>
      <w:lvlJc w:val="left"/>
      <w:pPr>
        <w:ind w:left="1080" w:hanging="360"/>
      </w:pPr>
      <w:rPr>
        <w:rFonts w:ascii="Symbol" w:hAnsi="Symbol" w:hint="default"/>
        <w:color w:val="00B05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C54908"/>
    <w:multiLevelType w:val="hybridMultilevel"/>
    <w:tmpl w:val="F332858C"/>
    <w:lvl w:ilvl="0" w:tplc="9220831C">
      <w:start w:val="1"/>
      <w:numFmt w:val="bullet"/>
      <w:lvlText w:val=""/>
      <w:lvlJc w:val="left"/>
      <w:pPr>
        <w:ind w:left="720" w:hanging="360"/>
      </w:pPr>
      <w:rPr>
        <w:rFonts w:ascii="Wingdings" w:hAnsi="Wingdings" w:cs="Wingdings" w:hint="default"/>
        <w:color w:val="7EC492" w:themeColor="accent5" w:themeTint="99"/>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6F76A4"/>
    <w:multiLevelType w:val="hybridMultilevel"/>
    <w:tmpl w:val="856C0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C96CD4"/>
    <w:multiLevelType w:val="hybridMultilevel"/>
    <w:tmpl w:val="DB6C7084"/>
    <w:lvl w:ilvl="0" w:tplc="9220831C">
      <w:start w:val="1"/>
      <w:numFmt w:val="bullet"/>
      <w:lvlText w:val=""/>
      <w:lvlJc w:val="left"/>
      <w:pPr>
        <w:ind w:left="720" w:hanging="360"/>
      </w:pPr>
      <w:rPr>
        <w:rFonts w:ascii="Wingdings" w:hAnsi="Wingdings" w:cs="Wingdings" w:hint="default"/>
        <w:color w:val="7EC492" w:themeColor="accent5" w:themeTint="99"/>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300D87"/>
    <w:multiLevelType w:val="hybridMultilevel"/>
    <w:tmpl w:val="57CEE76C"/>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FC77E0"/>
    <w:multiLevelType w:val="hybridMultilevel"/>
    <w:tmpl w:val="E2B4B6D8"/>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1182EF48">
      <w:start w:val="3"/>
      <w:numFmt w:val="bullet"/>
      <w:lvlText w:val="•"/>
      <w:lvlJc w:val="left"/>
      <w:pPr>
        <w:ind w:left="1790" w:hanging="710"/>
      </w:pPr>
      <w:rPr>
        <w:rFonts w:ascii="Calibri Light" w:eastAsiaTheme="minorEastAsia" w:hAnsi="Calibri Light"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87324D"/>
    <w:multiLevelType w:val="hybridMultilevel"/>
    <w:tmpl w:val="ED7EA46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2A023D8C"/>
    <w:multiLevelType w:val="hybridMultilevel"/>
    <w:tmpl w:val="C832B696"/>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A5B2838"/>
    <w:multiLevelType w:val="hybridMultilevel"/>
    <w:tmpl w:val="3CD4F1DC"/>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2E360DB9"/>
    <w:multiLevelType w:val="hybridMultilevel"/>
    <w:tmpl w:val="685646A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1901977"/>
    <w:multiLevelType w:val="hybridMultilevel"/>
    <w:tmpl w:val="31D06D2A"/>
    <w:lvl w:ilvl="0" w:tplc="9220831C">
      <w:start w:val="1"/>
      <w:numFmt w:val="bullet"/>
      <w:lvlText w:val=""/>
      <w:lvlJc w:val="left"/>
      <w:pPr>
        <w:ind w:left="720" w:hanging="360"/>
      </w:pPr>
      <w:rPr>
        <w:rFonts w:ascii="Wingdings" w:hAnsi="Wingdings" w:cs="Wingdings" w:hint="default"/>
        <w:color w:val="7EC492" w:themeColor="accent5" w:themeTint="99"/>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C76298"/>
    <w:multiLevelType w:val="hybridMultilevel"/>
    <w:tmpl w:val="6ECE5B3A"/>
    <w:lvl w:ilvl="0" w:tplc="E6D06464">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CB7E8A"/>
    <w:multiLevelType w:val="hybridMultilevel"/>
    <w:tmpl w:val="848EB2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2546BB6"/>
    <w:multiLevelType w:val="hybridMultilevel"/>
    <w:tmpl w:val="0C962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CD0D1D"/>
    <w:multiLevelType w:val="hybridMultilevel"/>
    <w:tmpl w:val="A1B07BD8"/>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4B7CA5"/>
    <w:multiLevelType w:val="hybridMultilevel"/>
    <w:tmpl w:val="8B50F61C"/>
    <w:lvl w:ilvl="0" w:tplc="9E42AFDA">
      <w:start w:val="1"/>
      <w:numFmt w:val="bullet"/>
      <w:lvlText w:val=""/>
      <w:lvlJc w:val="left"/>
      <w:pPr>
        <w:ind w:left="720" w:hanging="360"/>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D23FBF"/>
    <w:multiLevelType w:val="hybridMultilevel"/>
    <w:tmpl w:val="96EEA3DA"/>
    <w:lvl w:ilvl="0" w:tplc="E6D06464">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646B22"/>
    <w:multiLevelType w:val="hybridMultilevel"/>
    <w:tmpl w:val="55C28884"/>
    <w:lvl w:ilvl="0" w:tplc="9E42AFDA">
      <w:start w:val="1"/>
      <w:numFmt w:val="bullet"/>
      <w:lvlText w:val=""/>
      <w:lvlJc w:val="left"/>
      <w:pPr>
        <w:ind w:left="720" w:hanging="360"/>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6F00D6"/>
    <w:multiLevelType w:val="hybridMultilevel"/>
    <w:tmpl w:val="0DE0A582"/>
    <w:lvl w:ilvl="0" w:tplc="6BD2CB84">
      <w:start w:val="1"/>
      <w:numFmt w:val="bullet"/>
      <w:lvlText w:val=""/>
      <w:lvlJc w:val="left"/>
      <w:pPr>
        <w:ind w:left="720" w:hanging="360"/>
      </w:pPr>
      <w:rPr>
        <w:rFonts w:ascii="Wingdings" w:hAnsi="Wingdings" w:hint="default"/>
        <w:color w:val="00990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0CA4A67"/>
    <w:multiLevelType w:val="hybridMultilevel"/>
    <w:tmpl w:val="0BBEDE2A"/>
    <w:lvl w:ilvl="0" w:tplc="7C94BE18">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0FF38FB"/>
    <w:multiLevelType w:val="hybridMultilevel"/>
    <w:tmpl w:val="6070193E"/>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5A51A2"/>
    <w:multiLevelType w:val="hybridMultilevel"/>
    <w:tmpl w:val="1ABAD98A"/>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28E10E6"/>
    <w:multiLevelType w:val="hybridMultilevel"/>
    <w:tmpl w:val="F6C0EC24"/>
    <w:lvl w:ilvl="0" w:tplc="E6D06464">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2C56F8"/>
    <w:multiLevelType w:val="hybridMultilevel"/>
    <w:tmpl w:val="4C301E3E"/>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6C2365F"/>
    <w:multiLevelType w:val="hybridMultilevel"/>
    <w:tmpl w:val="E222BF8E"/>
    <w:lvl w:ilvl="0" w:tplc="B464D774">
      <w:start w:val="1"/>
      <w:numFmt w:val="bullet"/>
      <w:lvlText w:val=""/>
      <w:lvlJc w:val="left"/>
      <w:pPr>
        <w:ind w:left="720" w:hanging="360"/>
      </w:pPr>
      <w:rPr>
        <w:rFonts w:ascii="Wingdings" w:hAnsi="Wingdings" w:cs="Wingdings" w:hint="default"/>
        <w:color w:val="00800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6E90926"/>
    <w:multiLevelType w:val="hybridMultilevel"/>
    <w:tmpl w:val="4F1A2296"/>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9F335F3"/>
    <w:multiLevelType w:val="hybridMultilevel"/>
    <w:tmpl w:val="CD723E8A"/>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BBA7282"/>
    <w:multiLevelType w:val="hybridMultilevel"/>
    <w:tmpl w:val="846E0DBC"/>
    <w:lvl w:ilvl="0" w:tplc="E6D06464">
      <w:start w:val="1"/>
      <w:numFmt w:val="bullet"/>
      <w:lvlText w:val=""/>
      <w:lvlJc w:val="left"/>
      <w:pPr>
        <w:ind w:left="785"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BED7697"/>
    <w:multiLevelType w:val="hybridMultilevel"/>
    <w:tmpl w:val="BF443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C232628"/>
    <w:multiLevelType w:val="hybridMultilevel"/>
    <w:tmpl w:val="1DC0A886"/>
    <w:lvl w:ilvl="0" w:tplc="E6D06464">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ED041EF"/>
    <w:multiLevelType w:val="hybridMultilevel"/>
    <w:tmpl w:val="3EA82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10B4E47"/>
    <w:multiLevelType w:val="hybridMultilevel"/>
    <w:tmpl w:val="9A9E3FC0"/>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3CB59A3"/>
    <w:multiLevelType w:val="hybridMultilevel"/>
    <w:tmpl w:val="FFD2CAE0"/>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4190D07"/>
    <w:multiLevelType w:val="hybridMultilevel"/>
    <w:tmpl w:val="EF1A66AA"/>
    <w:lvl w:ilvl="0" w:tplc="9E42AFDA">
      <w:start w:val="1"/>
      <w:numFmt w:val="bullet"/>
      <w:lvlText w:val=""/>
      <w:lvlJc w:val="left"/>
      <w:pPr>
        <w:ind w:left="720" w:hanging="360"/>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7650B57"/>
    <w:multiLevelType w:val="hybridMultilevel"/>
    <w:tmpl w:val="5EAA366A"/>
    <w:lvl w:ilvl="0" w:tplc="9220831C">
      <w:start w:val="1"/>
      <w:numFmt w:val="bullet"/>
      <w:lvlText w:val=""/>
      <w:lvlJc w:val="left"/>
      <w:pPr>
        <w:ind w:left="720" w:hanging="360"/>
      </w:pPr>
      <w:rPr>
        <w:rFonts w:ascii="Wingdings" w:hAnsi="Wingdings" w:cs="Wingdings" w:hint="default"/>
        <w:color w:val="7EC492" w:themeColor="accent5" w:themeTint="99"/>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ADA2422"/>
    <w:multiLevelType w:val="hybridMultilevel"/>
    <w:tmpl w:val="3F66A3B6"/>
    <w:lvl w:ilvl="0" w:tplc="9E42AFDA">
      <w:start w:val="1"/>
      <w:numFmt w:val="bullet"/>
      <w:lvlText w:val=""/>
      <w:lvlJc w:val="left"/>
      <w:pPr>
        <w:ind w:left="720" w:hanging="360"/>
      </w:pPr>
      <w:rPr>
        <w:rFonts w:ascii="Symbol" w:hAnsi="Symbol" w:hint="default"/>
        <w:color w:val="00B050"/>
        <w:sz w:val="28"/>
      </w:rPr>
    </w:lvl>
    <w:lvl w:ilvl="1" w:tplc="C87E06FC">
      <w:start w:val="1"/>
      <w:numFmt w:val="bullet"/>
      <w:lvlText w:val=""/>
      <w:lvlJc w:val="left"/>
      <w:pPr>
        <w:ind w:left="1440" w:hanging="360"/>
      </w:pPr>
      <w:rPr>
        <w:rFonts w:ascii="Symbol" w:hAnsi="Symbol"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0CE7B3B"/>
    <w:multiLevelType w:val="hybridMultilevel"/>
    <w:tmpl w:val="BEFA36A0"/>
    <w:lvl w:ilvl="0" w:tplc="9E42AFDA">
      <w:start w:val="1"/>
      <w:numFmt w:val="bullet"/>
      <w:lvlText w:val=""/>
      <w:lvlJc w:val="left"/>
      <w:pPr>
        <w:ind w:left="720" w:hanging="360"/>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38A6C07"/>
    <w:multiLevelType w:val="hybridMultilevel"/>
    <w:tmpl w:val="0DC6CE4E"/>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9C915B6"/>
    <w:multiLevelType w:val="hybridMultilevel"/>
    <w:tmpl w:val="31A04016"/>
    <w:lvl w:ilvl="0" w:tplc="6BD2CB84">
      <w:start w:val="1"/>
      <w:numFmt w:val="bullet"/>
      <w:lvlText w:val=""/>
      <w:lvlJc w:val="left"/>
      <w:pPr>
        <w:ind w:left="720" w:hanging="360"/>
      </w:pPr>
      <w:rPr>
        <w:rFonts w:ascii="Wingdings" w:hAnsi="Wingdings" w:hint="default"/>
        <w:color w:val="0099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AB03533"/>
    <w:multiLevelType w:val="hybridMultilevel"/>
    <w:tmpl w:val="3452B1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07579C2"/>
    <w:multiLevelType w:val="hybridMultilevel"/>
    <w:tmpl w:val="5CBE6E44"/>
    <w:lvl w:ilvl="0" w:tplc="6BD2CB84">
      <w:start w:val="1"/>
      <w:numFmt w:val="bullet"/>
      <w:lvlText w:val=""/>
      <w:lvlJc w:val="left"/>
      <w:pPr>
        <w:ind w:left="1440" w:hanging="360"/>
      </w:pPr>
      <w:rPr>
        <w:rFonts w:ascii="Wingdings" w:hAnsi="Wingdings" w:hint="default"/>
        <w:color w:val="009900"/>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75656E49"/>
    <w:multiLevelType w:val="hybridMultilevel"/>
    <w:tmpl w:val="8A74189E"/>
    <w:lvl w:ilvl="0" w:tplc="EDCC5BF0">
      <w:start w:val="1"/>
      <w:numFmt w:val="bullet"/>
      <w:lvlText w:val=""/>
      <w:lvlJc w:val="left"/>
      <w:pPr>
        <w:ind w:left="720" w:hanging="360"/>
      </w:pPr>
      <w:rPr>
        <w:rFonts w:ascii="Wingdings" w:hAnsi="Wingdings" w:cs="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9CD771F"/>
    <w:multiLevelType w:val="hybridMultilevel"/>
    <w:tmpl w:val="958C8AD4"/>
    <w:lvl w:ilvl="0" w:tplc="E6D06464">
      <w:start w:val="1"/>
      <w:numFmt w:val="bullet"/>
      <w:lvlText w:val=""/>
      <w:lvlJc w:val="left"/>
      <w:pPr>
        <w:ind w:left="720" w:hanging="360"/>
      </w:pPr>
      <w:rPr>
        <w:rFonts w:ascii="Wingdings" w:hAnsi="Wingdings" w:hint="default"/>
        <w:color w:val="2E653E" w:themeColor="accent5" w:themeShade="BF"/>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A502B90"/>
    <w:multiLevelType w:val="hybridMultilevel"/>
    <w:tmpl w:val="CD8E708A"/>
    <w:lvl w:ilvl="0" w:tplc="5ECAD6AA">
      <w:start w:val="1"/>
      <w:numFmt w:val="bullet"/>
      <w:lvlText w:val=""/>
      <w:lvlJc w:val="left"/>
      <w:pPr>
        <w:ind w:left="720" w:hanging="360"/>
      </w:pPr>
      <w:rPr>
        <w:rFonts w:ascii="Symbol" w:hAnsi="Symbol" w:hint="default"/>
        <w:color w:val="2E653E" w:themeColor="accent5" w:themeShade="BF"/>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D091BB4"/>
    <w:multiLevelType w:val="hybridMultilevel"/>
    <w:tmpl w:val="FE801B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43"/>
  </w:num>
  <w:num w:numId="3">
    <w:abstractNumId w:val="7"/>
  </w:num>
  <w:num w:numId="4">
    <w:abstractNumId w:val="40"/>
  </w:num>
  <w:num w:numId="5">
    <w:abstractNumId w:val="50"/>
  </w:num>
  <w:num w:numId="6">
    <w:abstractNumId w:val="13"/>
  </w:num>
  <w:num w:numId="7">
    <w:abstractNumId w:val="16"/>
  </w:num>
  <w:num w:numId="8">
    <w:abstractNumId w:val="5"/>
  </w:num>
  <w:num w:numId="9">
    <w:abstractNumId w:val="0"/>
  </w:num>
  <w:num w:numId="10">
    <w:abstractNumId w:val="38"/>
  </w:num>
  <w:num w:numId="11">
    <w:abstractNumId w:val="29"/>
  </w:num>
  <w:num w:numId="12">
    <w:abstractNumId w:val="14"/>
  </w:num>
  <w:num w:numId="13">
    <w:abstractNumId w:val="31"/>
  </w:num>
  <w:num w:numId="14">
    <w:abstractNumId w:val="30"/>
  </w:num>
  <w:num w:numId="15">
    <w:abstractNumId w:val="3"/>
  </w:num>
  <w:num w:numId="16">
    <w:abstractNumId w:val="51"/>
  </w:num>
  <w:num w:numId="17">
    <w:abstractNumId w:val="22"/>
  </w:num>
  <w:num w:numId="18">
    <w:abstractNumId w:val="2"/>
  </w:num>
  <w:num w:numId="19">
    <w:abstractNumId w:val="17"/>
  </w:num>
  <w:num w:numId="20">
    <w:abstractNumId w:val="18"/>
  </w:num>
  <w:num w:numId="21">
    <w:abstractNumId w:val="12"/>
  </w:num>
  <w:num w:numId="22">
    <w:abstractNumId w:val="15"/>
  </w:num>
  <w:num w:numId="23">
    <w:abstractNumId w:val="41"/>
  </w:num>
  <w:num w:numId="24">
    <w:abstractNumId w:val="1"/>
  </w:num>
  <w:num w:numId="25">
    <w:abstractNumId w:val="25"/>
  </w:num>
  <w:num w:numId="26">
    <w:abstractNumId w:val="8"/>
  </w:num>
  <w:num w:numId="27">
    <w:abstractNumId w:val="36"/>
  </w:num>
  <w:num w:numId="28">
    <w:abstractNumId w:val="34"/>
  </w:num>
  <w:num w:numId="29">
    <w:abstractNumId w:val="23"/>
  </w:num>
  <w:num w:numId="30">
    <w:abstractNumId w:val="20"/>
  </w:num>
  <w:num w:numId="31">
    <w:abstractNumId w:val="46"/>
  </w:num>
  <w:num w:numId="32">
    <w:abstractNumId w:val="28"/>
  </w:num>
  <w:num w:numId="33">
    <w:abstractNumId w:val="35"/>
  </w:num>
  <w:num w:numId="34">
    <w:abstractNumId w:val="49"/>
  </w:num>
  <w:num w:numId="35">
    <w:abstractNumId w:val="24"/>
  </w:num>
  <w:num w:numId="36">
    <w:abstractNumId w:val="21"/>
  </w:num>
  <w:num w:numId="37">
    <w:abstractNumId w:val="4"/>
  </w:num>
  <w:num w:numId="38">
    <w:abstractNumId w:val="48"/>
  </w:num>
  <w:num w:numId="39">
    <w:abstractNumId w:val="32"/>
  </w:num>
  <w:num w:numId="40">
    <w:abstractNumId w:val="26"/>
  </w:num>
  <w:num w:numId="41">
    <w:abstractNumId w:val="9"/>
  </w:num>
  <w:num w:numId="42">
    <w:abstractNumId w:val="42"/>
  </w:num>
  <w:num w:numId="43">
    <w:abstractNumId w:val="27"/>
  </w:num>
  <w:num w:numId="44">
    <w:abstractNumId w:val="45"/>
  </w:num>
  <w:num w:numId="45">
    <w:abstractNumId w:val="44"/>
  </w:num>
  <w:num w:numId="46">
    <w:abstractNumId w:val="53"/>
  </w:num>
  <w:num w:numId="47">
    <w:abstractNumId w:val="47"/>
  </w:num>
  <w:num w:numId="48">
    <w:abstractNumId w:val="33"/>
  </w:num>
  <w:num w:numId="49">
    <w:abstractNumId w:val="10"/>
  </w:num>
  <w:num w:numId="50">
    <w:abstractNumId w:val="37"/>
  </w:num>
  <w:num w:numId="51">
    <w:abstractNumId w:val="19"/>
  </w:num>
  <w:num w:numId="52">
    <w:abstractNumId w:val="52"/>
  </w:num>
  <w:num w:numId="53">
    <w:abstractNumId w:val="11"/>
  </w:num>
  <w:num w:numId="54">
    <w:abstractNumId w:val="39"/>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FF00CB"/>
    <w:rsid w:val="00021F2D"/>
    <w:rsid w:val="00024CAC"/>
    <w:rsid w:val="0003232A"/>
    <w:rsid w:val="000331F3"/>
    <w:rsid w:val="00065244"/>
    <w:rsid w:val="00075385"/>
    <w:rsid w:val="00076E48"/>
    <w:rsid w:val="000A4B5E"/>
    <w:rsid w:val="000E027C"/>
    <w:rsid w:val="000E4677"/>
    <w:rsid w:val="000E5506"/>
    <w:rsid w:val="001005E4"/>
    <w:rsid w:val="001034F6"/>
    <w:rsid w:val="001065B4"/>
    <w:rsid w:val="00116A8B"/>
    <w:rsid w:val="00126A37"/>
    <w:rsid w:val="00135E52"/>
    <w:rsid w:val="001518D6"/>
    <w:rsid w:val="00162590"/>
    <w:rsid w:val="00162D2D"/>
    <w:rsid w:val="001651C0"/>
    <w:rsid w:val="0017089A"/>
    <w:rsid w:val="001736C0"/>
    <w:rsid w:val="001907B7"/>
    <w:rsid w:val="001D4807"/>
    <w:rsid w:val="001E2C72"/>
    <w:rsid w:val="001E5C9E"/>
    <w:rsid w:val="00205E4F"/>
    <w:rsid w:val="002236DD"/>
    <w:rsid w:val="00232384"/>
    <w:rsid w:val="0027161A"/>
    <w:rsid w:val="00276672"/>
    <w:rsid w:val="002B188A"/>
    <w:rsid w:val="002B7643"/>
    <w:rsid w:val="002F23CB"/>
    <w:rsid w:val="00336B23"/>
    <w:rsid w:val="00350BDB"/>
    <w:rsid w:val="00350E1F"/>
    <w:rsid w:val="00360A6F"/>
    <w:rsid w:val="00361142"/>
    <w:rsid w:val="003778CA"/>
    <w:rsid w:val="003928F0"/>
    <w:rsid w:val="00395D55"/>
    <w:rsid w:val="003C1542"/>
    <w:rsid w:val="003E1826"/>
    <w:rsid w:val="003E6159"/>
    <w:rsid w:val="003F6798"/>
    <w:rsid w:val="00412581"/>
    <w:rsid w:val="00421B3E"/>
    <w:rsid w:val="004326A9"/>
    <w:rsid w:val="00441AFE"/>
    <w:rsid w:val="00444964"/>
    <w:rsid w:val="00450732"/>
    <w:rsid w:val="00451299"/>
    <w:rsid w:val="00486520"/>
    <w:rsid w:val="004A1341"/>
    <w:rsid w:val="004A3784"/>
    <w:rsid w:val="004C2EBB"/>
    <w:rsid w:val="004C58F2"/>
    <w:rsid w:val="004E3F33"/>
    <w:rsid w:val="004E4875"/>
    <w:rsid w:val="004E5AF8"/>
    <w:rsid w:val="005149BA"/>
    <w:rsid w:val="00525FE2"/>
    <w:rsid w:val="00535D16"/>
    <w:rsid w:val="00544905"/>
    <w:rsid w:val="00550C07"/>
    <w:rsid w:val="00556441"/>
    <w:rsid w:val="005570E9"/>
    <w:rsid w:val="005574F7"/>
    <w:rsid w:val="00561560"/>
    <w:rsid w:val="005635A5"/>
    <w:rsid w:val="00566A15"/>
    <w:rsid w:val="00566DB4"/>
    <w:rsid w:val="00584153"/>
    <w:rsid w:val="005B761A"/>
    <w:rsid w:val="005C6A25"/>
    <w:rsid w:val="005E3F2D"/>
    <w:rsid w:val="005E405A"/>
    <w:rsid w:val="006235FA"/>
    <w:rsid w:val="006270DE"/>
    <w:rsid w:val="00633A37"/>
    <w:rsid w:val="006649C4"/>
    <w:rsid w:val="00675DCB"/>
    <w:rsid w:val="0067726A"/>
    <w:rsid w:val="00677FF3"/>
    <w:rsid w:val="006A2D56"/>
    <w:rsid w:val="006A7386"/>
    <w:rsid w:val="006A7850"/>
    <w:rsid w:val="006C0CBF"/>
    <w:rsid w:val="006D54A4"/>
    <w:rsid w:val="006E3689"/>
    <w:rsid w:val="00707A4D"/>
    <w:rsid w:val="0071185C"/>
    <w:rsid w:val="007154DC"/>
    <w:rsid w:val="007319F8"/>
    <w:rsid w:val="00741AEE"/>
    <w:rsid w:val="00746602"/>
    <w:rsid w:val="0075272D"/>
    <w:rsid w:val="0075392C"/>
    <w:rsid w:val="00754341"/>
    <w:rsid w:val="00764366"/>
    <w:rsid w:val="00774893"/>
    <w:rsid w:val="007772F5"/>
    <w:rsid w:val="007861DB"/>
    <w:rsid w:val="007A2B2D"/>
    <w:rsid w:val="007B495C"/>
    <w:rsid w:val="007B4D71"/>
    <w:rsid w:val="007C38EB"/>
    <w:rsid w:val="007D55DC"/>
    <w:rsid w:val="007E0987"/>
    <w:rsid w:val="007F5DEE"/>
    <w:rsid w:val="007F7FFB"/>
    <w:rsid w:val="00800446"/>
    <w:rsid w:val="008104F9"/>
    <w:rsid w:val="0082046E"/>
    <w:rsid w:val="0082681A"/>
    <w:rsid w:val="008312FF"/>
    <w:rsid w:val="008329EC"/>
    <w:rsid w:val="00856B08"/>
    <w:rsid w:val="0089561A"/>
    <w:rsid w:val="008A0DD6"/>
    <w:rsid w:val="008D2033"/>
    <w:rsid w:val="008F04F6"/>
    <w:rsid w:val="008F1576"/>
    <w:rsid w:val="008F1F81"/>
    <w:rsid w:val="00926890"/>
    <w:rsid w:val="00943A83"/>
    <w:rsid w:val="00944D48"/>
    <w:rsid w:val="00950CC7"/>
    <w:rsid w:val="00966EC9"/>
    <w:rsid w:val="009670BA"/>
    <w:rsid w:val="009A79E9"/>
    <w:rsid w:val="009B1A27"/>
    <w:rsid w:val="009C5E7C"/>
    <w:rsid w:val="009C7CDE"/>
    <w:rsid w:val="009D2243"/>
    <w:rsid w:val="009D26FA"/>
    <w:rsid w:val="009E02A9"/>
    <w:rsid w:val="009F263B"/>
    <w:rsid w:val="009F5A1D"/>
    <w:rsid w:val="00A14A7A"/>
    <w:rsid w:val="00A237B1"/>
    <w:rsid w:val="00A34769"/>
    <w:rsid w:val="00A63398"/>
    <w:rsid w:val="00A66B8A"/>
    <w:rsid w:val="00A8579D"/>
    <w:rsid w:val="00A863B0"/>
    <w:rsid w:val="00A930F4"/>
    <w:rsid w:val="00A9480D"/>
    <w:rsid w:val="00AA1691"/>
    <w:rsid w:val="00AA7DC0"/>
    <w:rsid w:val="00AA7FDE"/>
    <w:rsid w:val="00AB5694"/>
    <w:rsid w:val="00AC686B"/>
    <w:rsid w:val="00AD0E45"/>
    <w:rsid w:val="00AD136C"/>
    <w:rsid w:val="00AD499F"/>
    <w:rsid w:val="00AE76CF"/>
    <w:rsid w:val="00B0223A"/>
    <w:rsid w:val="00B040A3"/>
    <w:rsid w:val="00B05DFE"/>
    <w:rsid w:val="00B171B0"/>
    <w:rsid w:val="00B353A4"/>
    <w:rsid w:val="00B61577"/>
    <w:rsid w:val="00B70A8F"/>
    <w:rsid w:val="00B73B42"/>
    <w:rsid w:val="00B763A5"/>
    <w:rsid w:val="00B7796A"/>
    <w:rsid w:val="00BA09BE"/>
    <w:rsid w:val="00BB2D25"/>
    <w:rsid w:val="00BC33F2"/>
    <w:rsid w:val="00C00681"/>
    <w:rsid w:val="00C13BC7"/>
    <w:rsid w:val="00C13FF9"/>
    <w:rsid w:val="00C42547"/>
    <w:rsid w:val="00C45A28"/>
    <w:rsid w:val="00C87C82"/>
    <w:rsid w:val="00C91156"/>
    <w:rsid w:val="00C912AF"/>
    <w:rsid w:val="00CA00C2"/>
    <w:rsid w:val="00CB4DC8"/>
    <w:rsid w:val="00CC03FE"/>
    <w:rsid w:val="00CC6247"/>
    <w:rsid w:val="00CE339D"/>
    <w:rsid w:val="00CF1D95"/>
    <w:rsid w:val="00CF30BB"/>
    <w:rsid w:val="00CF7408"/>
    <w:rsid w:val="00D12CD3"/>
    <w:rsid w:val="00D12DD8"/>
    <w:rsid w:val="00D16773"/>
    <w:rsid w:val="00D16D64"/>
    <w:rsid w:val="00D30B4F"/>
    <w:rsid w:val="00D34898"/>
    <w:rsid w:val="00D65E9A"/>
    <w:rsid w:val="00D80463"/>
    <w:rsid w:val="00D866D7"/>
    <w:rsid w:val="00D86ED4"/>
    <w:rsid w:val="00D93E91"/>
    <w:rsid w:val="00DA299B"/>
    <w:rsid w:val="00DA6FA3"/>
    <w:rsid w:val="00DB72E8"/>
    <w:rsid w:val="00DC14B5"/>
    <w:rsid w:val="00DE09A6"/>
    <w:rsid w:val="00DE1BDF"/>
    <w:rsid w:val="00DE65CB"/>
    <w:rsid w:val="00E00996"/>
    <w:rsid w:val="00E33CEB"/>
    <w:rsid w:val="00E522D9"/>
    <w:rsid w:val="00E5535B"/>
    <w:rsid w:val="00E80CD6"/>
    <w:rsid w:val="00E85DC1"/>
    <w:rsid w:val="00EA2C10"/>
    <w:rsid w:val="00EA53FA"/>
    <w:rsid w:val="00EC034A"/>
    <w:rsid w:val="00ED6D37"/>
    <w:rsid w:val="00EF6858"/>
    <w:rsid w:val="00F07CFA"/>
    <w:rsid w:val="00F5228A"/>
    <w:rsid w:val="00F55BEF"/>
    <w:rsid w:val="00F74F7E"/>
    <w:rsid w:val="00F95C1B"/>
    <w:rsid w:val="00F97601"/>
    <w:rsid w:val="00FB2878"/>
    <w:rsid w:val="00FE536D"/>
    <w:rsid w:val="00FF00CB"/>
    <w:rsid w:val="00FF2359"/>
    <w:rsid w:val="00FF75C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5E9A"/>
    <w:pPr>
      <w:spacing w:line="360" w:lineRule="auto"/>
      <w:jc w:val="both"/>
    </w:pPr>
    <w:rPr>
      <w:rFonts w:ascii="Calibri Light" w:hAnsi="Calibri Light"/>
      <w:sz w:val="24"/>
    </w:rPr>
  </w:style>
  <w:style w:type="paragraph" w:styleId="Nagwek1">
    <w:name w:val="heading 1"/>
    <w:basedOn w:val="Normalny"/>
    <w:next w:val="Normalny"/>
    <w:link w:val="Nagwek1Znak"/>
    <w:uiPriority w:val="9"/>
    <w:qFormat/>
    <w:rsid w:val="00D65E9A"/>
    <w:pPr>
      <w:keepNext/>
      <w:keepLines/>
      <w:spacing w:before="240" w:after="0"/>
      <w:outlineLvl w:val="0"/>
    </w:pPr>
    <w:rPr>
      <w:rFonts w:eastAsiaTheme="majorEastAsia" w:cstheme="majorBidi"/>
      <w:color w:val="1481AB" w:themeColor="accent1" w:themeShade="BF"/>
      <w:sz w:val="32"/>
      <w:szCs w:val="32"/>
    </w:rPr>
  </w:style>
  <w:style w:type="paragraph" w:styleId="Nagwek2">
    <w:name w:val="heading 2"/>
    <w:basedOn w:val="Normalny"/>
    <w:next w:val="Normalny"/>
    <w:link w:val="Nagwek2Znak"/>
    <w:uiPriority w:val="9"/>
    <w:semiHidden/>
    <w:unhideWhenUsed/>
    <w:qFormat/>
    <w:rsid w:val="00D65E9A"/>
    <w:pPr>
      <w:keepNext/>
      <w:keepLines/>
      <w:spacing w:before="40" w:after="0"/>
      <w:outlineLvl w:val="1"/>
    </w:pPr>
    <w:rPr>
      <w:rFonts w:eastAsiaTheme="majorEastAsia" w:cstheme="majorBidi"/>
      <w:color w:val="1481AB" w:themeColor="accent1" w:themeShade="BF"/>
      <w:sz w:val="26"/>
      <w:szCs w:val="26"/>
    </w:rPr>
  </w:style>
  <w:style w:type="paragraph" w:styleId="Nagwek3">
    <w:name w:val="heading 3"/>
    <w:basedOn w:val="Normalny"/>
    <w:next w:val="Normalny"/>
    <w:link w:val="Nagwek3Znak"/>
    <w:uiPriority w:val="9"/>
    <w:semiHidden/>
    <w:unhideWhenUsed/>
    <w:qFormat/>
    <w:rsid w:val="007F7FFB"/>
    <w:pPr>
      <w:keepNext/>
      <w:keepLines/>
      <w:spacing w:before="40" w:after="0"/>
      <w:outlineLvl w:val="2"/>
    </w:pPr>
    <w:rPr>
      <w:rFonts w:asciiTheme="majorHAnsi" w:eastAsiaTheme="majorEastAsia" w:hAnsiTheme="majorHAnsi" w:cstheme="majorBidi"/>
      <w:color w:val="0D5571"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22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228A"/>
    <w:rPr>
      <w:rFonts w:asciiTheme="majorHAnsi" w:hAnsiTheme="majorHAnsi"/>
      <w:sz w:val="24"/>
    </w:rPr>
  </w:style>
  <w:style w:type="paragraph" w:styleId="Stopka">
    <w:name w:val="footer"/>
    <w:basedOn w:val="Normalny"/>
    <w:link w:val="StopkaZnak"/>
    <w:uiPriority w:val="99"/>
    <w:unhideWhenUsed/>
    <w:rsid w:val="00F522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228A"/>
    <w:rPr>
      <w:rFonts w:asciiTheme="majorHAnsi" w:hAnsiTheme="majorHAnsi"/>
      <w:sz w:val="24"/>
    </w:rPr>
  </w:style>
  <w:style w:type="paragraph" w:styleId="Bezodstpw">
    <w:name w:val="No Spacing"/>
    <w:link w:val="BezodstpwZnak"/>
    <w:uiPriority w:val="1"/>
    <w:qFormat/>
    <w:rsid w:val="00F5228A"/>
    <w:pPr>
      <w:spacing w:after="0" w:line="240" w:lineRule="auto"/>
    </w:pPr>
  </w:style>
  <w:style w:type="character" w:customStyle="1" w:styleId="BezodstpwZnak">
    <w:name w:val="Bez odstępów Znak"/>
    <w:basedOn w:val="Domylnaczcionkaakapitu"/>
    <w:link w:val="Bezodstpw"/>
    <w:uiPriority w:val="1"/>
    <w:rsid w:val="00F5228A"/>
  </w:style>
  <w:style w:type="paragraph" w:styleId="Akapitzlist">
    <w:name w:val="List Paragraph"/>
    <w:basedOn w:val="Normalny"/>
    <w:link w:val="AkapitzlistZnak"/>
    <w:uiPriority w:val="99"/>
    <w:qFormat/>
    <w:rsid w:val="00D65E9A"/>
    <w:pPr>
      <w:spacing w:before="120" w:after="120"/>
      <w:ind w:left="720"/>
      <w:contextualSpacing/>
    </w:pPr>
    <w:rPr>
      <w:rFonts w:eastAsiaTheme="minorHAnsi"/>
      <w:lang w:eastAsia="en-US"/>
    </w:rPr>
  </w:style>
  <w:style w:type="character" w:customStyle="1" w:styleId="AkapitzlistZnak">
    <w:name w:val="Akapit z listą Znak"/>
    <w:basedOn w:val="Domylnaczcionkaakapitu"/>
    <w:link w:val="Akapitzlist"/>
    <w:uiPriority w:val="99"/>
    <w:qFormat/>
    <w:rsid w:val="00D65E9A"/>
    <w:rPr>
      <w:rFonts w:ascii="Calibri Light" w:eastAsiaTheme="minorHAnsi" w:hAnsi="Calibri Light"/>
      <w:sz w:val="24"/>
      <w:lang w:eastAsia="en-US"/>
    </w:rPr>
  </w:style>
  <w:style w:type="paragraph" w:styleId="Tekstprzypisudolnego">
    <w:name w:val="footnote text"/>
    <w:basedOn w:val="Normalny"/>
    <w:link w:val="TekstprzypisudolnegoZnak"/>
    <w:uiPriority w:val="99"/>
    <w:semiHidden/>
    <w:unhideWhenUsed/>
    <w:rsid w:val="00D65E9A"/>
    <w:pPr>
      <w:spacing w:before="120" w:after="0" w:line="240" w:lineRule="auto"/>
    </w:pPr>
    <w:rPr>
      <w:rFonts w:eastAsiaTheme="minorHAnsi"/>
      <w:szCs w:val="20"/>
      <w:lang w:eastAsia="en-US"/>
    </w:rPr>
  </w:style>
  <w:style w:type="character" w:customStyle="1" w:styleId="TekstprzypisudolnegoZnak">
    <w:name w:val="Tekst przypisu dolnego Znak"/>
    <w:basedOn w:val="Domylnaczcionkaakapitu"/>
    <w:link w:val="Tekstprzypisudolnego"/>
    <w:uiPriority w:val="99"/>
    <w:semiHidden/>
    <w:rsid w:val="00D65E9A"/>
    <w:rPr>
      <w:rFonts w:ascii="Calibri Light" w:eastAsiaTheme="minorHAnsi" w:hAnsi="Calibri Light"/>
      <w:sz w:val="24"/>
      <w:szCs w:val="20"/>
      <w:lang w:eastAsia="en-US"/>
    </w:rPr>
  </w:style>
  <w:style w:type="character" w:styleId="Odwoanieprzypisudolnego">
    <w:name w:val="footnote reference"/>
    <w:basedOn w:val="Domylnaczcionkaakapitu"/>
    <w:uiPriority w:val="99"/>
    <w:semiHidden/>
    <w:unhideWhenUsed/>
    <w:rsid w:val="00D65E9A"/>
    <w:rPr>
      <w:vertAlign w:val="superscript"/>
    </w:rPr>
  </w:style>
  <w:style w:type="paragraph" w:customStyle="1" w:styleId="Styl2">
    <w:name w:val="Styl2"/>
    <w:basedOn w:val="Nagwek2"/>
    <w:link w:val="Styl2Znak"/>
    <w:qFormat/>
    <w:rsid w:val="00D65E9A"/>
    <w:pPr>
      <w:shd w:val="clear" w:color="auto" w:fill="D3EBDA" w:themeFill="accent5" w:themeFillTint="33"/>
      <w:spacing w:before="120" w:after="240" w:line="240" w:lineRule="auto"/>
    </w:pPr>
    <w:rPr>
      <w:rFonts w:cstheme="majorHAnsi"/>
      <w:b/>
      <w:color w:val="2E653E" w:themeColor="accent5" w:themeShade="BF"/>
      <w:spacing w:val="15"/>
      <w:sz w:val="32"/>
      <w:lang w:eastAsia="en-US"/>
    </w:rPr>
  </w:style>
  <w:style w:type="character" w:customStyle="1" w:styleId="Styl2Znak">
    <w:name w:val="Styl2 Znak"/>
    <w:basedOn w:val="Nagwek2Znak"/>
    <w:link w:val="Styl2"/>
    <w:rsid w:val="00D65E9A"/>
    <w:rPr>
      <w:rFonts w:asciiTheme="majorHAnsi" w:eastAsiaTheme="majorEastAsia" w:hAnsiTheme="majorHAnsi" w:cstheme="majorHAnsi"/>
      <w:b/>
      <w:color w:val="2E653E" w:themeColor="accent5" w:themeShade="BF"/>
      <w:spacing w:val="15"/>
      <w:sz w:val="32"/>
      <w:szCs w:val="26"/>
      <w:shd w:val="clear" w:color="auto" w:fill="D3EBDA" w:themeFill="accent5" w:themeFillTint="33"/>
      <w:lang w:eastAsia="en-US"/>
    </w:rPr>
  </w:style>
  <w:style w:type="paragraph" w:customStyle="1" w:styleId="Styl1">
    <w:name w:val="Styl1"/>
    <w:basedOn w:val="Nagwek1"/>
    <w:link w:val="Styl1Znak"/>
    <w:qFormat/>
    <w:rsid w:val="00D65E9A"/>
    <w:pPr>
      <w:pBdr>
        <w:bottom w:val="single" w:sz="12" w:space="1" w:color="2E653E" w:themeColor="accent5" w:themeShade="BF"/>
      </w:pBdr>
      <w:shd w:val="clear" w:color="auto" w:fill="FFFFFF" w:themeFill="background1"/>
      <w:spacing w:before="120" w:after="240" w:line="240" w:lineRule="auto"/>
      <w:jc w:val="center"/>
    </w:pPr>
    <w:rPr>
      <w:rFonts w:cstheme="majorHAnsi"/>
      <w:b/>
      <w:caps/>
      <w:color w:val="2E653E" w:themeColor="accent5" w:themeShade="BF"/>
      <w:spacing w:val="15"/>
      <w:sz w:val="36"/>
      <w:lang w:eastAsia="en-US"/>
    </w:rPr>
  </w:style>
  <w:style w:type="character" w:customStyle="1" w:styleId="Styl1Znak">
    <w:name w:val="Styl1 Znak"/>
    <w:basedOn w:val="Nagwek1Znak"/>
    <w:link w:val="Styl1"/>
    <w:rsid w:val="00D65E9A"/>
    <w:rPr>
      <w:rFonts w:asciiTheme="majorHAnsi" w:eastAsiaTheme="majorEastAsia" w:hAnsiTheme="majorHAnsi" w:cstheme="majorHAnsi"/>
      <w:b/>
      <w:caps/>
      <w:color w:val="2E653E" w:themeColor="accent5" w:themeShade="BF"/>
      <w:spacing w:val="15"/>
      <w:sz w:val="36"/>
      <w:szCs w:val="32"/>
      <w:shd w:val="clear" w:color="auto" w:fill="FFFFFF" w:themeFill="background1"/>
      <w:lang w:eastAsia="en-US"/>
    </w:rPr>
  </w:style>
  <w:style w:type="character" w:customStyle="1" w:styleId="Nagwek2Znak">
    <w:name w:val="Nagłówek 2 Znak"/>
    <w:basedOn w:val="Domylnaczcionkaakapitu"/>
    <w:link w:val="Nagwek2"/>
    <w:uiPriority w:val="9"/>
    <w:semiHidden/>
    <w:rsid w:val="00D65E9A"/>
    <w:rPr>
      <w:rFonts w:asciiTheme="majorHAnsi" w:eastAsiaTheme="majorEastAsia" w:hAnsiTheme="majorHAnsi" w:cstheme="majorBidi"/>
      <w:color w:val="1481AB" w:themeColor="accent1" w:themeShade="BF"/>
      <w:sz w:val="26"/>
      <w:szCs w:val="26"/>
    </w:rPr>
  </w:style>
  <w:style w:type="character" w:customStyle="1" w:styleId="Nagwek1Znak">
    <w:name w:val="Nagłówek 1 Znak"/>
    <w:basedOn w:val="Domylnaczcionkaakapitu"/>
    <w:link w:val="Nagwek1"/>
    <w:uiPriority w:val="9"/>
    <w:rsid w:val="00D65E9A"/>
    <w:rPr>
      <w:rFonts w:asciiTheme="majorHAnsi" w:eastAsiaTheme="majorEastAsia" w:hAnsiTheme="majorHAnsi" w:cstheme="majorBidi"/>
      <w:color w:val="1481AB" w:themeColor="accent1" w:themeShade="BF"/>
      <w:sz w:val="32"/>
      <w:szCs w:val="32"/>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link w:val="LegendaZnak"/>
    <w:uiPriority w:val="35"/>
    <w:unhideWhenUsed/>
    <w:qFormat/>
    <w:rsid w:val="0082681A"/>
    <w:pPr>
      <w:spacing w:after="200" w:line="240" w:lineRule="auto"/>
    </w:pPr>
    <w:rPr>
      <w:i/>
      <w:iCs/>
      <w:color w:val="335B74" w:themeColor="text2"/>
      <w:sz w:val="18"/>
      <w:szCs w:val="18"/>
    </w:rPr>
  </w:style>
  <w:style w:type="table" w:styleId="Tabela-Siatka">
    <w:name w:val="Table Grid"/>
    <w:basedOn w:val="Standardowy"/>
    <w:uiPriority w:val="39"/>
    <w:rsid w:val="00103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3F679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F6798"/>
    <w:rPr>
      <w:rFonts w:ascii="Segoe UI" w:hAnsi="Segoe UI" w:cs="Segoe UI"/>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F2359"/>
    <w:rPr>
      <w:rFonts w:ascii="Calibri Light" w:hAnsi="Calibri Light"/>
      <w:i/>
      <w:iCs/>
      <w:color w:val="335B74" w:themeColor="text2"/>
      <w:sz w:val="18"/>
      <w:szCs w:val="18"/>
    </w:rPr>
  </w:style>
  <w:style w:type="table" w:customStyle="1" w:styleId="Tabelasiatki1jasnaakcent51">
    <w:name w:val="Tabela siatki 1 — jasna — akcent 51"/>
    <w:basedOn w:val="Standardowy"/>
    <w:uiPriority w:val="46"/>
    <w:rsid w:val="00FF2359"/>
    <w:pPr>
      <w:spacing w:after="0" w:line="240" w:lineRule="auto"/>
    </w:pPr>
    <w:tblPr>
      <w:tblStyleRowBandSize w:val="1"/>
      <w:tblStyleColBandSize w:val="1"/>
      <w:tblInd w:w="0" w:type="dxa"/>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CellMar>
        <w:top w:w="0" w:type="dxa"/>
        <w:left w:w="108" w:type="dxa"/>
        <w:bottom w:w="0" w:type="dxa"/>
        <w:right w:w="108" w:type="dxa"/>
      </w:tblCellMar>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800446"/>
    <w:rPr>
      <w:sz w:val="16"/>
      <w:szCs w:val="16"/>
    </w:rPr>
  </w:style>
  <w:style w:type="table" w:customStyle="1" w:styleId="GridTable1LightAccent4">
    <w:name w:val="Grid Table 1 Light Accent 4"/>
    <w:basedOn w:val="Standardowy"/>
    <w:uiPriority w:val="46"/>
    <w:rsid w:val="007F7FFB"/>
    <w:pPr>
      <w:spacing w:after="0" w:line="240" w:lineRule="auto"/>
    </w:pPr>
    <w:tblPr>
      <w:tblStyleRowBandSize w:val="1"/>
      <w:tblStyleColBandSize w:val="1"/>
      <w:tblInd w:w="0" w:type="dxa"/>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CellMar>
        <w:top w:w="0" w:type="dxa"/>
        <w:left w:w="108" w:type="dxa"/>
        <w:bottom w:w="0" w:type="dxa"/>
        <w:right w:w="108" w:type="dxa"/>
      </w:tblCellMar>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paragraph" w:customStyle="1" w:styleId="Mtabela">
    <w:name w:val="M_tabela"/>
    <w:basedOn w:val="Normalny"/>
    <w:link w:val="MtabelaZnak"/>
    <w:qFormat/>
    <w:rsid w:val="007F7FFB"/>
    <w:pPr>
      <w:spacing w:after="0" w:line="240" w:lineRule="auto"/>
      <w:jc w:val="center"/>
    </w:pPr>
    <w:rPr>
      <w:rFonts w:ascii="Arial" w:eastAsia="Times New Roman" w:hAnsi="Arial" w:cs="Arial"/>
      <w:sz w:val="18"/>
      <w:szCs w:val="18"/>
      <w:lang w:eastAsia="pl-PL"/>
    </w:rPr>
  </w:style>
  <w:style w:type="character" w:customStyle="1" w:styleId="MtabelaZnak">
    <w:name w:val="M_tabela Znak"/>
    <w:basedOn w:val="Domylnaczcionkaakapitu"/>
    <w:link w:val="Mtabela"/>
    <w:rsid w:val="007F7FFB"/>
    <w:rPr>
      <w:rFonts w:ascii="Arial" w:eastAsia="Times New Roman" w:hAnsi="Arial" w:cs="Arial"/>
      <w:sz w:val="18"/>
      <w:szCs w:val="18"/>
      <w:lang w:eastAsia="pl-PL"/>
    </w:rPr>
  </w:style>
  <w:style w:type="character" w:customStyle="1" w:styleId="Nagwek3Znak">
    <w:name w:val="Nagłówek 3 Znak"/>
    <w:basedOn w:val="Domylnaczcionkaakapitu"/>
    <w:link w:val="Nagwek3"/>
    <w:uiPriority w:val="9"/>
    <w:semiHidden/>
    <w:rsid w:val="007F7FFB"/>
    <w:rPr>
      <w:rFonts w:asciiTheme="majorHAnsi" w:eastAsiaTheme="majorEastAsia" w:hAnsiTheme="majorHAnsi" w:cstheme="majorBidi"/>
      <w:color w:val="0D5571" w:themeColor="accent1" w:themeShade="7F"/>
      <w:sz w:val="24"/>
      <w:szCs w:val="24"/>
    </w:rPr>
  </w:style>
  <w:style w:type="paragraph" w:styleId="Spisilustracji">
    <w:name w:val="table of figures"/>
    <w:basedOn w:val="Normalny"/>
    <w:next w:val="Normalny"/>
    <w:uiPriority w:val="99"/>
    <w:unhideWhenUsed/>
    <w:rsid w:val="00C912AF"/>
    <w:pPr>
      <w:spacing w:after="0"/>
    </w:pPr>
  </w:style>
  <w:style w:type="character" w:styleId="Hipercze">
    <w:name w:val="Hyperlink"/>
    <w:basedOn w:val="Domylnaczcionkaakapitu"/>
    <w:uiPriority w:val="99"/>
    <w:unhideWhenUsed/>
    <w:rsid w:val="00C912AF"/>
    <w:rPr>
      <w:color w:val="6EAC1C" w:themeColor="hyperlink"/>
      <w:u w:val="single"/>
    </w:rPr>
  </w:style>
  <w:style w:type="paragraph" w:customStyle="1" w:styleId="Styl3">
    <w:name w:val="Styl3"/>
    <w:basedOn w:val="Nagwek3"/>
    <w:link w:val="Styl3Znak"/>
    <w:qFormat/>
    <w:rsid w:val="00561560"/>
    <w:rPr>
      <w:color w:val="1F4429" w:themeColor="accent5" w:themeShade="80"/>
      <w:sz w:val="28"/>
    </w:rPr>
  </w:style>
  <w:style w:type="character" w:customStyle="1" w:styleId="Styl3Znak">
    <w:name w:val="Styl3 Znak"/>
    <w:basedOn w:val="Nagwek3Znak"/>
    <w:link w:val="Styl3"/>
    <w:rsid w:val="00561560"/>
    <w:rPr>
      <w:rFonts w:asciiTheme="majorHAnsi" w:eastAsiaTheme="majorEastAsia" w:hAnsiTheme="majorHAnsi" w:cstheme="majorBidi"/>
      <w:color w:val="1F4429" w:themeColor="accent5" w:themeShade="80"/>
      <w:sz w:val="28"/>
      <w:szCs w:val="24"/>
    </w:rPr>
  </w:style>
  <w:style w:type="paragraph" w:styleId="Nagwekspisutreci">
    <w:name w:val="TOC Heading"/>
    <w:basedOn w:val="Nagwek1"/>
    <w:next w:val="Normalny"/>
    <w:uiPriority w:val="39"/>
    <w:unhideWhenUsed/>
    <w:qFormat/>
    <w:rsid w:val="001E2C72"/>
    <w:pPr>
      <w:spacing w:line="259" w:lineRule="auto"/>
      <w:jc w:val="left"/>
      <w:outlineLvl w:val="9"/>
    </w:pPr>
    <w:rPr>
      <w:rFonts w:asciiTheme="majorHAnsi" w:hAnsiTheme="majorHAnsi"/>
    </w:rPr>
  </w:style>
  <w:style w:type="paragraph" w:styleId="Spistreci2">
    <w:name w:val="toc 2"/>
    <w:basedOn w:val="Normalny"/>
    <w:next w:val="Normalny"/>
    <w:autoRedefine/>
    <w:uiPriority w:val="39"/>
    <w:unhideWhenUsed/>
    <w:rsid w:val="001E2C72"/>
    <w:pPr>
      <w:spacing w:after="100" w:line="259" w:lineRule="auto"/>
      <w:ind w:left="220"/>
      <w:jc w:val="left"/>
    </w:pPr>
    <w:rPr>
      <w:rFonts w:asciiTheme="minorHAnsi" w:hAnsiTheme="minorHAnsi" w:cs="Times New Roman"/>
      <w:sz w:val="22"/>
    </w:rPr>
  </w:style>
  <w:style w:type="paragraph" w:styleId="Spistreci1">
    <w:name w:val="toc 1"/>
    <w:basedOn w:val="Normalny"/>
    <w:next w:val="Normalny"/>
    <w:autoRedefine/>
    <w:uiPriority w:val="39"/>
    <w:unhideWhenUsed/>
    <w:rsid w:val="001E2C72"/>
    <w:pPr>
      <w:spacing w:after="100" w:line="259" w:lineRule="auto"/>
      <w:jc w:val="left"/>
    </w:pPr>
    <w:rPr>
      <w:rFonts w:asciiTheme="minorHAnsi" w:hAnsiTheme="minorHAnsi" w:cs="Times New Roman"/>
      <w:sz w:val="22"/>
    </w:rPr>
  </w:style>
  <w:style w:type="paragraph" w:styleId="Spistreci3">
    <w:name w:val="toc 3"/>
    <w:basedOn w:val="Normalny"/>
    <w:next w:val="Normalny"/>
    <w:autoRedefine/>
    <w:uiPriority w:val="39"/>
    <w:unhideWhenUsed/>
    <w:rsid w:val="001E2C72"/>
    <w:pPr>
      <w:spacing w:after="100" w:line="259" w:lineRule="auto"/>
      <w:ind w:left="440"/>
      <w:jc w:val="left"/>
    </w:pPr>
    <w:rPr>
      <w:rFonts w:asciiTheme="minorHAnsi" w:hAnsiTheme="minorHAnsi" w:cs="Times New Roman"/>
      <w:sz w:val="22"/>
    </w:rPr>
  </w:style>
  <w:style w:type="table" w:customStyle="1" w:styleId="GridTable5DarkAccent5">
    <w:name w:val="Grid Table 5 Dark Accent 5"/>
    <w:basedOn w:val="Standardowy"/>
    <w:uiPriority w:val="50"/>
    <w:rsid w:val="00DE09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GridTable5DarkAccent6">
    <w:name w:val="Grid Table 5 Dark Accent 6"/>
    <w:basedOn w:val="Standardowy"/>
    <w:uiPriority w:val="50"/>
    <w:rsid w:val="00DE09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customStyle="1" w:styleId="GridTable2Accent5">
    <w:name w:val="Grid Table 2 Accent 5"/>
    <w:basedOn w:val="Standardowy"/>
    <w:uiPriority w:val="47"/>
    <w:rsid w:val="009F263B"/>
    <w:pPr>
      <w:spacing w:after="0" w:line="240" w:lineRule="auto"/>
    </w:pPr>
    <w:tblPr>
      <w:tblStyleRowBandSize w:val="1"/>
      <w:tblStyleColBandSize w:val="1"/>
      <w:tblInd w:w="0" w:type="dxa"/>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CellMar>
        <w:top w:w="0" w:type="dxa"/>
        <w:left w:w="108" w:type="dxa"/>
        <w:bottom w:w="0" w:type="dxa"/>
        <w:right w:w="108" w:type="dxa"/>
      </w:tblCellMar>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1LightAccent5">
    <w:name w:val="Grid Table 1 Light Accent 5"/>
    <w:basedOn w:val="Standardowy"/>
    <w:uiPriority w:val="46"/>
    <w:rsid w:val="009F263B"/>
    <w:pPr>
      <w:spacing w:after="0" w:line="240" w:lineRule="auto"/>
    </w:pPr>
    <w:tblPr>
      <w:tblStyleRowBandSize w:val="1"/>
      <w:tblStyleColBandSize w:val="1"/>
      <w:tblInd w:w="0" w:type="dxa"/>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CellMar>
        <w:top w:w="0" w:type="dxa"/>
        <w:left w:w="108" w:type="dxa"/>
        <w:bottom w:w="0" w:type="dxa"/>
        <w:right w:w="108" w:type="dxa"/>
      </w:tblCellMar>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GridTable4Accent5">
    <w:name w:val="Grid Table 4 Accent 5"/>
    <w:basedOn w:val="Standardowy"/>
    <w:uiPriority w:val="49"/>
    <w:rsid w:val="009F263B"/>
    <w:pPr>
      <w:spacing w:after="0" w:line="240" w:lineRule="auto"/>
    </w:pPr>
    <w:tblPr>
      <w:tblStyleRowBandSize w:val="1"/>
      <w:tblStyleColBandSize w:val="1"/>
      <w:tblInd w:w="0" w:type="dxa"/>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6370442">
      <w:bodyDiv w:val="1"/>
      <w:marLeft w:val="0"/>
      <w:marRight w:val="0"/>
      <w:marTop w:val="0"/>
      <w:marBottom w:val="0"/>
      <w:divBdr>
        <w:top w:val="none" w:sz="0" w:space="0" w:color="auto"/>
        <w:left w:val="none" w:sz="0" w:space="0" w:color="auto"/>
        <w:bottom w:val="none" w:sz="0" w:space="0" w:color="auto"/>
        <w:right w:val="none" w:sz="0" w:space="0" w:color="auto"/>
      </w:divBdr>
    </w:div>
    <w:div w:id="26564572">
      <w:bodyDiv w:val="1"/>
      <w:marLeft w:val="0"/>
      <w:marRight w:val="0"/>
      <w:marTop w:val="0"/>
      <w:marBottom w:val="0"/>
      <w:divBdr>
        <w:top w:val="none" w:sz="0" w:space="0" w:color="auto"/>
        <w:left w:val="none" w:sz="0" w:space="0" w:color="auto"/>
        <w:bottom w:val="none" w:sz="0" w:space="0" w:color="auto"/>
        <w:right w:val="none" w:sz="0" w:space="0" w:color="auto"/>
      </w:divBdr>
    </w:div>
    <w:div w:id="98257375">
      <w:bodyDiv w:val="1"/>
      <w:marLeft w:val="0"/>
      <w:marRight w:val="0"/>
      <w:marTop w:val="0"/>
      <w:marBottom w:val="0"/>
      <w:divBdr>
        <w:top w:val="none" w:sz="0" w:space="0" w:color="auto"/>
        <w:left w:val="none" w:sz="0" w:space="0" w:color="auto"/>
        <w:bottom w:val="none" w:sz="0" w:space="0" w:color="auto"/>
        <w:right w:val="none" w:sz="0" w:space="0" w:color="auto"/>
      </w:divBdr>
    </w:div>
    <w:div w:id="126778204">
      <w:bodyDiv w:val="1"/>
      <w:marLeft w:val="0"/>
      <w:marRight w:val="0"/>
      <w:marTop w:val="0"/>
      <w:marBottom w:val="0"/>
      <w:divBdr>
        <w:top w:val="none" w:sz="0" w:space="0" w:color="auto"/>
        <w:left w:val="none" w:sz="0" w:space="0" w:color="auto"/>
        <w:bottom w:val="none" w:sz="0" w:space="0" w:color="auto"/>
        <w:right w:val="none" w:sz="0" w:space="0" w:color="auto"/>
      </w:divBdr>
    </w:div>
    <w:div w:id="150828274">
      <w:bodyDiv w:val="1"/>
      <w:marLeft w:val="0"/>
      <w:marRight w:val="0"/>
      <w:marTop w:val="0"/>
      <w:marBottom w:val="0"/>
      <w:divBdr>
        <w:top w:val="none" w:sz="0" w:space="0" w:color="auto"/>
        <w:left w:val="none" w:sz="0" w:space="0" w:color="auto"/>
        <w:bottom w:val="none" w:sz="0" w:space="0" w:color="auto"/>
        <w:right w:val="none" w:sz="0" w:space="0" w:color="auto"/>
      </w:divBdr>
    </w:div>
    <w:div w:id="184951297">
      <w:bodyDiv w:val="1"/>
      <w:marLeft w:val="0"/>
      <w:marRight w:val="0"/>
      <w:marTop w:val="0"/>
      <w:marBottom w:val="0"/>
      <w:divBdr>
        <w:top w:val="none" w:sz="0" w:space="0" w:color="auto"/>
        <w:left w:val="none" w:sz="0" w:space="0" w:color="auto"/>
        <w:bottom w:val="none" w:sz="0" w:space="0" w:color="auto"/>
        <w:right w:val="none" w:sz="0" w:space="0" w:color="auto"/>
      </w:divBdr>
    </w:div>
    <w:div w:id="191110105">
      <w:bodyDiv w:val="1"/>
      <w:marLeft w:val="0"/>
      <w:marRight w:val="0"/>
      <w:marTop w:val="0"/>
      <w:marBottom w:val="0"/>
      <w:divBdr>
        <w:top w:val="none" w:sz="0" w:space="0" w:color="auto"/>
        <w:left w:val="none" w:sz="0" w:space="0" w:color="auto"/>
        <w:bottom w:val="none" w:sz="0" w:space="0" w:color="auto"/>
        <w:right w:val="none" w:sz="0" w:space="0" w:color="auto"/>
      </w:divBdr>
    </w:div>
    <w:div w:id="195894131">
      <w:bodyDiv w:val="1"/>
      <w:marLeft w:val="0"/>
      <w:marRight w:val="0"/>
      <w:marTop w:val="0"/>
      <w:marBottom w:val="0"/>
      <w:divBdr>
        <w:top w:val="none" w:sz="0" w:space="0" w:color="auto"/>
        <w:left w:val="none" w:sz="0" w:space="0" w:color="auto"/>
        <w:bottom w:val="none" w:sz="0" w:space="0" w:color="auto"/>
        <w:right w:val="none" w:sz="0" w:space="0" w:color="auto"/>
      </w:divBdr>
    </w:div>
    <w:div w:id="231158966">
      <w:bodyDiv w:val="1"/>
      <w:marLeft w:val="0"/>
      <w:marRight w:val="0"/>
      <w:marTop w:val="0"/>
      <w:marBottom w:val="0"/>
      <w:divBdr>
        <w:top w:val="none" w:sz="0" w:space="0" w:color="auto"/>
        <w:left w:val="none" w:sz="0" w:space="0" w:color="auto"/>
        <w:bottom w:val="none" w:sz="0" w:space="0" w:color="auto"/>
        <w:right w:val="none" w:sz="0" w:space="0" w:color="auto"/>
      </w:divBdr>
    </w:div>
    <w:div w:id="231161854">
      <w:bodyDiv w:val="1"/>
      <w:marLeft w:val="0"/>
      <w:marRight w:val="0"/>
      <w:marTop w:val="0"/>
      <w:marBottom w:val="0"/>
      <w:divBdr>
        <w:top w:val="none" w:sz="0" w:space="0" w:color="auto"/>
        <w:left w:val="none" w:sz="0" w:space="0" w:color="auto"/>
        <w:bottom w:val="none" w:sz="0" w:space="0" w:color="auto"/>
        <w:right w:val="none" w:sz="0" w:space="0" w:color="auto"/>
      </w:divBdr>
    </w:div>
    <w:div w:id="242958772">
      <w:bodyDiv w:val="1"/>
      <w:marLeft w:val="0"/>
      <w:marRight w:val="0"/>
      <w:marTop w:val="0"/>
      <w:marBottom w:val="0"/>
      <w:divBdr>
        <w:top w:val="none" w:sz="0" w:space="0" w:color="auto"/>
        <w:left w:val="none" w:sz="0" w:space="0" w:color="auto"/>
        <w:bottom w:val="none" w:sz="0" w:space="0" w:color="auto"/>
        <w:right w:val="none" w:sz="0" w:space="0" w:color="auto"/>
      </w:divBdr>
    </w:div>
    <w:div w:id="287392528">
      <w:bodyDiv w:val="1"/>
      <w:marLeft w:val="0"/>
      <w:marRight w:val="0"/>
      <w:marTop w:val="0"/>
      <w:marBottom w:val="0"/>
      <w:divBdr>
        <w:top w:val="none" w:sz="0" w:space="0" w:color="auto"/>
        <w:left w:val="none" w:sz="0" w:space="0" w:color="auto"/>
        <w:bottom w:val="none" w:sz="0" w:space="0" w:color="auto"/>
        <w:right w:val="none" w:sz="0" w:space="0" w:color="auto"/>
      </w:divBdr>
    </w:div>
    <w:div w:id="294987502">
      <w:bodyDiv w:val="1"/>
      <w:marLeft w:val="0"/>
      <w:marRight w:val="0"/>
      <w:marTop w:val="0"/>
      <w:marBottom w:val="0"/>
      <w:divBdr>
        <w:top w:val="none" w:sz="0" w:space="0" w:color="auto"/>
        <w:left w:val="none" w:sz="0" w:space="0" w:color="auto"/>
        <w:bottom w:val="none" w:sz="0" w:space="0" w:color="auto"/>
        <w:right w:val="none" w:sz="0" w:space="0" w:color="auto"/>
      </w:divBdr>
    </w:div>
    <w:div w:id="320276537">
      <w:bodyDiv w:val="1"/>
      <w:marLeft w:val="0"/>
      <w:marRight w:val="0"/>
      <w:marTop w:val="0"/>
      <w:marBottom w:val="0"/>
      <w:divBdr>
        <w:top w:val="none" w:sz="0" w:space="0" w:color="auto"/>
        <w:left w:val="none" w:sz="0" w:space="0" w:color="auto"/>
        <w:bottom w:val="none" w:sz="0" w:space="0" w:color="auto"/>
        <w:right w:val="none" w:sz="0" w:space="0" w:color="auto"/>
      </w:divBdr>
    </w:div>
    <w:div w:id="407382940">
      <w:bodyDiv w:val="1"/>
      <w:marLeft w:val="0"/>
      <w:marRight w:val="0"/>
      <w:marTop w:val="0"/>
      <w:marBottom w:val="0"/>
      <w:divBdr>
        <w:top w:val="none" w:sz="0" w:space="0" w:color="auto"/>
        <w:left w:val="none" w:sz="0" w:space="0" w:color="auto"/>
        <w:bottom w:val="none" w:sz="0" w:space="0" w:color="auto"/>
        <w:right w:val="none" w:sz="0" w:space="0" w:color="auto"/>
      </w:divBdr>
    </w:div>
    <w:div w:id="540477380">
      <w:bodyDiv w:val="1"/>
      <w:marLeft w:val="0"/>
      <w:marRight w:val="0"/>
      <w:marTop w:val="0"/>
      <w:marBottom w:val="0"/>
      <w:divBdr>
        <w:top w:val="none" w:sz="0" w:space="0" w:color="auto"/>
        <w:left w:val="none" w:sz="0" w:space="0" w:color="auto"/>
        <w:bottom w:val="none" w:sz="0" w:space="0" w:color="auto"/>
        <w:right w:val="none" w:sz="0" w:space="0" w:color="auto"/>
      </w:divBdr>
    </w:div>
    <w:div w:id="541283942">
      <w:bodyDiv w:val="1"/>
      <w:marLeft w:val="0"/>
      <w:marRight w:val="0"/>
      <w:marTop w:val="0"/>
      <w:marBottom w:val="0"/>
      <w:divBdr>
        <w:top w:val="none" w:sz="0" w:space="0" w:color="auto"/>
        <w:left w:val="none" w:sz="0" w:space="0" w:color="auto"/>
        <w:bottom w:val="none" w:sz="0" w:space="0" w:color="auto"/>
        <w:right w:val="none" w:sz="0" w:space="0" w:color="auto"/>
      </w:divBdr>
    </w:div>
    <w:div w:id="673267495">
      <w:bodyDiv w:val="1"/>
      <w:marLeft w:val="0"/>
      <w:marRight w:val="0"/>
      <w:marTop w:val="0"/>
      <w:marBottom w:val="0"/>
      <w:divBdr>
        <w:top w:val="none" w:sz="0" w:space="0" w:color="auto"/>
        <w:left w:val="none" w:sz="0" w:space="0" w:color="auto"/>
        <w:bottom w:val="none" w:sz="0" w:space="0" w:color="auto"/>
        <w:right w:val="none" w:sz="0" w:space="0" w:color="auto"/>
      </w:divBdr>
    </w:div>
    <w:div w:id="947273283">
      <w:bodyDiv w:val="1"/>
      <w:marLeft w:val="0"/>
      <w:marRight w:val="0"/>
      <w:marTop w:val="0"/>
      <w:marBottom w:val="0"/>
      <w:divBdr>
        <w:top w:val="none" w:sz="0" w:space="0" w:color="auto"/>
        <w:left w:val="none" w:sz="0" w:space="0" w:color="auto"/>
        <w:bottom w:val="none" w:sz="0" w:space="0" w:color="auto"/>
        <w:right w:val="none" w:sz="0" w:space="0" w:color="auto"/>
      </w:divBdr>
    </w:div>
    <w:div w:id="964652015">
      <w:bodyDiv w:val="1"/>
      <w:marLeft w:val="0"/>
      <w:marRight w:val="0"/>
      <w:marTop w:val="0"/>
      <w:marBottom w:val="0"/>
      <w:divBdr>
        <w:top w:val="none" w:sz="0" w:space="0" w:color="auto"/>
        <w:left w:val="none" w:sz="0" w:space="0" w:color="auto"/>
        <w:bottom w:val="none" w:sz="0" w:space="0" w:color="auto"/>
        <w:right w:val="none" w:sz="0" w:space="0" w:color="auto"/>
      </w:divBdr>
    </w:div>
    <w:div w:id="1100219424">
      <w:bodyDiv w:val="1"/>
      <w:marLeft w:val="0"/>
      <w:marRight w:val="0"/>
      <w:marTop w:val="0"/>
      <w:marBottom w:val="0"/>
      <w:divBdr>
        <w:top w:val="none" w:sz="0" w:space="0" w:color="auto"/>
        <w:left w:val="none" w:sz="0" w:space="0" w:color="auto"/>
        <w:bottom w:val="none" w:sz="0" w:space="0" w:color="auto"/>
        <w:right w:val="none" w:sz="0" w:space="0" w:color="auto"/>
      </w:divBdr>
    </w:div>
    <w:div w:id="1111127869">
      <w:bodyDiv w:val="1"/>
      <w:marLeft w:val="0"/>
      <w:marRight w:val="0"/>
      <w:marTop w:val="0"/>
      <w:marBottom w:val="0"/>
      <w:divBdr>
        <w:top w:val="none" w:sz="0" w:space="0" w:color="auto"/>
        <w:left w:val="none" w:sz="0" w:space="0" w:color="auto"/>
        <w:bottom w:val="none" w:sz="0" w:space="0" w:color="auto"/>
        <w:right w:val="none" w:sz="0" w:space="0" w:color="auto"/>
      </w:divBdr>
    </w:div>
    <w:div w:id="1168208333">
      <w:bodyDiv w:val="1"/>
      <w:marLeft w:val="0"/>
      <w:marRight w:val="0"/>
      <w:marTop w:val="0"/>
      <w:marBottom w:val="0"/>
      <w:divBdr>
        <w:top w:val="none" w:sz="0" w:space="0" w:color="auto"/>
        <w:left w:val="none" w:sz="0" w:space="0" w:color="auto"/>
        <w:bottom w:val="none" w:sz="0" w:space="0" w:color="auto"/>
        <w:right w:val="none" w:sz="0" w:space="0" w:color="auto"/>
      </w:divBdr>
    </w:div>
    <w:div w:id="1181121598">
      <w:bodyDiv w:val="1"/>
      <w:marLeft w:val="0"/>
      <w:marRight w:val="0"/>
      <w:marTop w:val="0"/>
      <w:marBottom w:val="0"/>
      <w:divBdr>
        <w:top w:val="none" w:sz="0" w:space="0" w:color="auto"/>
        <w:left w:val="none" w:sz="0" w:space="0" w:color="auto"/>
        <w:bottom w:val="none" w:sz="0" w:space="0" w:color="auto"/>
        <w:right w:val="none" w:sz="0" w:space="0" w:color="auto"/>
      </w:divBdr>
    </w:div>
    <w:div w:id="1215776288">
      <w:bodyDiv w:val="1"/>
      <w:marLeft w:val="0"/>
      <w:marRight w:val="0"/>
      <w:marTop w:val="0"/>
      <w:marBottom w:val="0"/>
      <w:divBdr>
        <w:top w:val="none" w:sz="0" w:space="0" w:color="auto"/>
        <w:left w:val="none" w:sz="0" w:space="0" w:color="auto"/>
        <w:bottom w:val="none" w:sz="0" w:space="0" w:color="auto"/>
        <w:right w:val="none" w:sz="0" w:space="0" w:color="auto"/>
      </w:divBdr>
    </w:div>
    <w:div w:id="1247182724">
      <w:bodyDiv w:val="1"/>
      <w:marLeft w:val="0"/>
      <w:marRight w:val="0"/>
      <w:marTop w:val="0"/>
      <w:marBottom w:val="0"/>
      <w:divBdr>
        <w:top w:val="none" w:sz="0" w:space="0" w:color="auto"/>
        <w:left w:val="none" w:sz="0" w:space="0" w:color="auto"/>
        <w:bottom w:val="none" w:sz="0" w:space="0" w:color="auto"/>
        <w:right w:val="none" w:sz="0" w:space="0" w:color="auto"/>
      </w:divBdr>
    </w:div>
    <w:div w:id="1257591703">
      <w:bodyDiv w:val="1"/>
      <w:marLeft w:val="0"/>
      <w:marRight w:val="0"/>
      <w:marTop w:val="0"/>
      <w:marBottom w:val="0"/>
      <w:divBdr>
        <w:top w:val="none" w:sz="0" w:space="0" w:color="auto"/>
        <w:left w:val="none" w:sz="0" w:space="0" w:color="auto"/>
        <w:bottom w:val="none" w:sz="0" w:space="0" w:color="auto"/>
        <w:right w:val="none" w:sz="0" w:space="0" w:color="auto"/>
      </w:divBdr>
    </w:div>
    <w:div w:id="1386636266">
      <w:bodyDiv w:val="1"/>
      <w:marLeft w:val="0"/>
      <w:marRight w:val="0"/>
      <w:marTop w:val="0"/>
      <w:marBottom w:val="0"/>
      <w:divBdr>
        <w:top w:val="none" w:sz="0" w:space="0" w:color="auto"/>
        <w:left w:val="none" w:sz="0" w:space="0" w:color="auto"/>
        <w:bottom w:val="none" w:sz="0" w:space="0" w:color="auto"/>
        <w:right w:val="none" w:sz="0" w:space="0" w:color="auto"/>
      </w:divBdr>
    </w:div>
    <w:div w:id="1415586178">
      <w:bodyDiv w:val="1"/>
      <w:marLeft w:val="0"/>
      <w:marRight w:val="0"/>
      <w:marTop w:val="0"/>
      <w:marBottom w:val="0"/>
      <w:divBdr>
        <w:top w:val="none" w:sz="0" w:space="0" w:color="auto"/>
        <w:left w:val="none" w:sz="0" w:space="0" w:color="auto"/>
        <w:bottom w:val="none" w:sz="0" w:space="0" w:color="auto"/>
        <w:right w:val="none" w:sz="0" w:space="0" w:color="auto"/>
      </w:divBdr>
    </w:div>
    <w:div w:id="1488092130">
      <w:bodyDiv w:val="1"/>
      <w:marLeft w:val="0"/>
      <w:marRight w:val="0"/>
      <w:marTop w:val="0"/>
      <w:marBottom w:val="0"/>
      <w:divBdr>
        <w:top w:val="none" w:sz="0" w:space="0" w:color="auto"/>
        <w:left w:val="none" w:sz="0" w:space="0" w:color="auto"/>
        <w:bottom w:val="none" w:sz="0" w:space="0" w:color="auto"/>
        <w:right w:val="none" w:sz="0" w:space="0" w:color="auto"/>
      </w:divBdr>
    </w:div>
    <w:div w:id="1526597924">
      <w:bodyDiv w:val="1"/>
      <w:marLeft w:val="0"/>
      <w:marRight w:val="0"/>
      <w:marTop w:val="0"/>
      <w:marBottom w:val="0"/>
      <w:divBdr>
        <w:top w:val="none" w:sz="0" w:space="0" w:color="auto"/>
        <w:left w:val="none" w:sz="0" w:space="0" w:color="auto"/>
        <w:bottom w:val="none" w:sz="0" w:space="0" w:color="auto"/>
        <w:right w:val="none" w:sz="0" w:space="0" w:color="auto"/>
      </w:divBdr>
    </w:div>
    <w:div w:id="1841264126">
      <w:bodyDiv w:val="1"/>
      <w:marLeft w:val="0"/>
      <w:marRight w:val="0"/>
      <w:marTop w:val="0"/>
      <w:marBottom w:val="0"/>
      <w:divBdr>
        <w:top w:val="none" w:sz="0" w:space="0" w:color="auto"/>
        <w:left w:val="none" w:sz="0" w:space="0" w:color="auto"/>
        <w:bottom w:val="none" w:sz="0" w:space="0" w:color="auto"/>
        <w:right w:val="none" w:sz="0" w:space="0" w:color="auto"/>
      </w:divBdr>
    </w:div>
    <w:div w:id="1925873320">
      <w:bodyDiv w:val="1"/>
      <w:marLeft w:val="0"/>
      <w:marRight w:val="0"/>
      <w:marTop w:val="0"/>
      <w:marBottom w:val="0"/>
      <w:divBdr>
        <w:top w:val="none" w:sz="0" w:space="0" w:color="auto"/>
        <w:left w:val="none" w:sz="0" w:space="0" w:color="auto"/>
        <w:bottom w:val="none" w:sz="0" w:space="0" w:color="auto"/>
        <w:right w:val="none" w:sz="0" w:space="0" w:color="auto"/>
      </w:divBdr>
    </w:div>
    <w:div w:id="2027363361">
      <w:bodyDiv w:val="1"/>
      <w:marLeft w:val="0"/>
      <w:marRight w:val="0"/>
      <w:marTop w:val="0"/>
      <w:marBottom w:val="0"/>
      <w:divBdr>
        <w:top w:val="none" w:sz="0" w:space="0" w:color="auto"/>
        <w:left w:val="none" w:sz="0" w:space="0" w:color="auto"/>
        <w:bottom w:val="none" w:sz="0" w:space="0" w:color="auto"/>
        <w:right w:val="none" w:sz="0" w:space="0" w:color="auto"/>
      </w:divBdr>
    </w:div>
    <w:div w:id="2037004450">
      <w:bodyDiv w:val="1"/>
      <w:marLeft w:val="0"/>
      <w:marRight w:val="0"/>
      <w:marTop w:val="0"/>
      <w:marBottom w:val="0"/>
      <w:divBdr>
        <w:top w:val="none" w:sz="0" w:space="0" w:color="auto"/>
        <w:left w:val="none" w:sz="0" w:space="0" w:color="auto"/>
        <w:bottom w:val="none" w:sz="0" w:space="0" w:color="auto"/>
        <w:right w:val="none" w:sz="0" w:space="0" w:color="auto"/>
      </w:divBdr>
    </w:div>
    <w:div w:id="2064326672">
      <w:bodyDiv w:val="1"/>
      <w:marLeft w:val="0"/>
      <w:marRight w:val="0"/>
      <w:marTop w:val="0"/>
      <w:marBottom w:val="0"/>
      <w:divBdr>
        <w:top w:val="none" w:sz="0" w:space="0" w:color="auto"/>
        <w:left w:val="none" w:sz="0" w:space="0" w:color="auto"/>
        <w:bottom w:val="none" w:sz="0" w:space="0" w:color="auto"/>
        <w:right w:val="none" w:sz="0" w:space="0" w:color="auto"/>
      </w:divBdr>
    </w:div>
    <w:div w:id="2070760717">
      <w:bodyDiv w:val="1"/>
      <w:marLeft w:val="0"/>
      <w:marRight w:val="0"/>
      <w:marTop w:val="0"/>
      <w:marBottom w:val="0"/>
      <w:divBdr>
        <w:top w:val="none" w:sz="0" w:space="0" w:color="auto"/>
        <w:left w:val="none" w:sz="0" w:space="0" w:color="auto"/>
        <w:bottom w:val="none" w:sz="0" w:space="0" w:color="auto"/>
        <w:right w:val="none" w:sz="0" w:space="0" w:color="auto"/>
      </w:divBdr>
    </w:div>
    <w:div w:id="2072384636">
      <w:bodyDiv w:val="1"/>
      <w:marLeft w:val="0"/>
      <w:marRight w:val="0"/>
      <w:marTop w:val="0"/>
      <w:marBottom w:val="0"/>
      <w:divBdr>
        <w:top w:val="none" w:sz="0" w:space="0" w:color="auto"/>
        <w:left w:val="none" w:sz="0" w:space="0" w:color="auto"/>
        <w:bottom w:val="none" w:sz="0" w:space="0" w:color="auto"/>
        <w:right w:val="none" w:sz="0" w:space="0" w:color="auto"/>
      </w:divBdr>
    </w:div>
    <w:div w:id="209224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1.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5" Type="http://schemas.openxmlformats.org/officeDocument/2006/relationships/image" Target="media/image14.png"/><Relationship Id="rId33" Type="http://schemas.openxmlformats.org/officeDocument/2006/relationships/chart" Target="charts/chart10.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chart" Target="charts/chart7.xml"/><Relationship Id="rId41" Type="http://schemas.openxmlformats.org/officeDocument/2006/relationships/hyperlink" Target="file:///C:\Users\Justyna\Desktop\CDE%20PONE\M&#322;awa\PONE%20M&#322;awa%201801219.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hart" Target="charts/chart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1.xml"/><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ustyna\Desktop\CDE%20PONE\M&#322;awa\Za&#322;&#261;cznik%20nr%201%20do%20PONE%20M&#322;aw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ustyna\Desktop\CDE%20PONE\M&#322;awa\Za&#322;&#261;cznik%20nr%201%20do%20PONE%20M&#322;aw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ustyna\Desktop\CDE%20PONE\M&#322;awa\Za&#322;&#261;cznik%20nr%201%20do%20PONE%20M&#322;aw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styna\Desktop\CDE%20PONE\M&#322;awa\dane%20ststystyczne%20m&#322;aw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styna\Desktop\CDE%20PONE\M&#322;awa\Dane%20ankie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styna\Desktop\CDE%20PONE\M&#322;awa\Dane%20ankie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styna\Desktop\CDE%20PONE\M&#322;awa\Dane%20ankie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ustyna\Desktop\CDE%20PONE\M&#322;awa\Dane%20ankie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ustyna\Desktop\CDE%20PONE\M&#322;awa\Dane%20ankie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plotArea>
      <c:layout/>
      <c:barChart>
        <c:barDir val="col"/>
        <c:grouping val="clustered"/>
        <c:ser>
          <c:idx val="0"/>
          <c:order val="0"/>
          <c:tx>
            <c:strRef>
              <c:f>Arkusz1!$A$2</c:f>
              <c:strCache>
                <c:ptCount val="1"/>
                <c:pt idx="0">
                  <c:v>Ludność ogółem</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Arkusz1!$B$1:$I$1</c:f>
              <c:numCache>
                <c:formatCode>General</c:formatCode>
                <c:ptCount val="8"/>
                <c:pt idx="0">
                  <c:v>2010</c:v>
                </c:pt>
                <c:pt idx="1">
                  <c:v>2011</c:v>
                </c:pt>
                <c:pt idx="2">
                  <c:v>2012</c:v>
                </c:pt>
                <c:pt idx="3">
                  <c:v>2013</c:v>
                </c:pt>
                <c:pt idx="4">
                  <c:v>2014</c:v>
                </c:pt>
                <c:pt idx="5">
                  <c:v>2015</c:v>
                </c:pt>
                <c:pt idx="6">
                  <c:v>2016</c:v>
                </c:pt>
                <c:pt idx="7">
                  <c:v>2017</c:v>
                </c:pt>
              </c:numCache>
            </c:numRef>
          </c:cat>
          <c:val>
            <c:numRef>
              <c:f>Arkusz1!$B$2:$I$2</c:f>
              <c:numCache>
                <c:formatCode>General</c:formatCode>
                <c:ptCount val="8"/>
                <c:pt idx="0">
                  <c:v>30843</c:v>
                </c:pt>
                <c:pt idx="1">
                  <c:v>30930</c:v>
                </c:pt>
                <c:pt idx="2">
                  <c:v>30969</c:v>
                </c:pt>
                <c:pt idx="3">
                  <c:v>30880</c:v>
                </c:pt>
                <c:pt idx="4">
                  <c:v>30968</c:v>
                </c:pt>
                <c:pt idx="5">
                  <c:v>31030</c:v>
                </c:pt>
                <c:pt idx="6">
                  <c:v>31149</c:v>
                </c:pt>
                <c:pt idx="7">
                  <c:v>31243</c:v>
                </c:pt>
              </c:numCache>
            </c:numRef>
          </c:val>
          <c:extLst xmlns:c16r2="http://schemas.microsoft.com/office/drawing/2015/06/chart">
            <c:ext xmlns:c16="http://schemas.microsoft.com/office/drawing/2014/chart" uri="{C3380CC4-5D6E-409C-BE32-E72D297353CC}">
              <c16:uniqueId val="{00000000-DCDC-4DDF-8B19-61527E25841D}"/>
            </c:ext>
          </c:extLst>
        </c:ser>
        <c:dLbls>
          <c:showVal val="1"/>
        </c:dLbls>
        <c:gapWidth val="100"/>
        <c:overlap val="-24"/>
        <c:axId val="132598784"/>
        <c:axId val="132604672"/>
      </c:barChart>
      <c:catAx>
        <c:axId val="1325987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604672"/>
        <c:crosses val="autoZero"/>
        <c:auto val="1"/>
        <c:lblAlgn val="ctr"/>
        <c:lblOffset val="100"/>
      </c:catAx>
      <c:valAx>
        <c:axId val="1326046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5987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plotArea>
      <c:layout/>
      <c:barChart>
        <c:barDir val="bar"/>
        <c:grouping val="clustered"/>
        <c:ser>
          <c:idx val="0"/>
          <c:order val="0"/>
          <c:tx>
            <c:strRef>
              <c:f>'Efekt ekologiczny '!$F$2</c:f>
              <c:strCache>
                <c:ptCount val="1"/>
                <c:pt idx="0">
                  <c:v>Redukcja emisji PM10 [Mg/rok]</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 ekologiczny '!$C$3:$C$13</c:f>
              <c:strCache>
                <c:ptCount val="11"/>
                <c:pt idx="0">
                  <c:v>Podłączenie lokalu do sieci cieplnej</c:v>
                </c:pt>
                <c:pt idx="1">
                  <c:v>Wymiana ogrzewania węglowego na elektryczne</c:v>
                </c:pt>
                <c:pt idx="2">
                  <c:v>Wymiana starych kotłów węglowych na nowe zasilane ręcznie</c:v>
                </c:pt>
                <c:pt idx="3">
                  <c:v>Wymiana starych kotłów węglowych na nowe zasilane automatycznie</c:v>
                </c:pt>
                <c:pt idx="4">
                  <c:v>Wymiana kotłów węglowych na kotły na biomasę zasilane automatycznie</c:v>
                </c:pt>
                <c:pt idx="5">
                  <c:v>Wymiana kotłów węglowych na kotły na pelety zasilane automatycznie</c:v>
                </c:pt>
                <c:pt idx="6">
                  <c:v>Wymiana ogrzewania węglowego na gazowe</c:v>
                </c:pt>
                <c:pt idx="7">
                  <c:v>Wymiana ogrzewania węglowego na olejowe</c:v>
                </c:pt>
                <c:pt idx="8">
                  <c:v>Wymiana ogrzewania węglowego na pompę ciepła</c:v>
                </c:pt>
                <c:pt idx="9">
                  <c:v>Zastosowanie kolektorów słonecznych</c:v>
                </c:pt>
                <c:pt idx="10">
                  <c:v>Termomodernizacja</c:v>
                </c:pt>
              </c:strCache>
            </c:strRef>
          </c:cat>
          <c:val>
            <c:numRef>
              <c:f>'Efekt ekologiczny '!$F$3:$F$13</c:f>
              <c:numCache>
                <c:formatCode>0.00</c:formatCode>
                <c:ptCount val="11"/>
                <c:pt idx="0">
                  <c:v>1.3227199999999999</c:v>
                </c:pt>
                <c:pt idx="1">
                  <c:v>1.9840800000000003</c:v>
                </c:pt>
                <c:pt idx="2">
                  <c:v>1.1844000000000002E-2</c:v>
                </c:pt>
                <c:pt idx="3">
                  <c:v>0.21481600000000006</c:v>
                </c:pt>
                <c:pt idx="4">
                  <c:v>1.3426000000000004E-2</c:v>
                </c:pt>
                <c:pt idx="5">
                  <c:v>0.48333600000000015</c:v>
                </c:pt>
                <c:pt idx="6">
                  <c:v>34.247962000000001</c:v>
                </c:pt>
                <c:pt idx="7">
                  <c:v>0.39320400000000011</c:v>
                </c:pt>
                <c:pt idx="8">
                  <c:v>1.0251079999999999</c:v>
                </c:pt>
                <c:pt idx="9">
                  <c:v>9.1728000000000032E-2</c:v>
                </c:pt>
                <c:pt idx="10">
                  <c:v>0.46619299999999997</c:v>
                </c:pt>
              </c:numCache>
            </c:numRef>
          </c:val>
          <c:extLst xmlns:c16r2="http://schemas.microsoft.com/office/drawing/2015/06/chart">
            <c:ext xmlns:c16="http://schemas.microsoft.com/office/drawing/2014/chart" uri="{C3380CC4-5D6E-409C-BE32-E72D297353CC}">
              <c16:uniqueId val="{00000000-3EC2-4F52-AB4C-11C66B095791}"/>
            </c:ext>
          </c:extLst>
        </c:ser>
        <c:dLbls>
          <c:showVal val="1"/>
        </c:dLbls>
        <c:gapWidth val="115"/>
        <c:overlap val="-20"/>
        <c:axId val="146509184"/>
        <c:axId val="146613376"/>
      </c:barChart>
      <c:catAx>
        <c:axId val="146509184"/>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13376"/>
        <c:crosses val="autoZero"/>
        <c:auto val="1"/>
        <c:lblAlgn val="ctr"/>
        <c:lblOffset val="100"/>
      </c:catAx>
      <c:valAx>
        <c:axId val="146613376"/>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509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plotArea>
      <c:layout/>
      <c:barChart>
        <c:barDir val="bar"/>
        <c:grouping val="clustered"/>
        <c:ser>
          <c:idx val="0"/>
          <c:order val="0"/>
          <c:tx>
            <c:strRef>
              <c:f>'Efekt ekologiczny '!$G$2</c:f>
              <c:strCache>
                <c:ptCount val="1"/>
                <c:pt idx="0">
                  <c:v>Redukcja emisji pyłu PM2,5 [Mg/rok]</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 ekologiczny '!$C$3:$C$13</c:f>
              <c:strCache>
                <c:ptCount val="11"/>
                <c:pt idx="0">
                  <c:v>Podłączenie lokalu do sieci cieplnej</c:v>
                </c:pt>
                <c:pt idx="1">
                  <c:v>Wymiana ogrzewania węglowego na elektryczne</c:v>
                </c:pt>
                <c:pt idx="2">
                  <c:v>Wymiana starych kotłów węglowych na nowe zasilane ręcznie</c:v>
                </c:pt>
                <c:pt idx="3">
                  <c:v>Wymiana starych kotłów węglowych na nowe zasilane automatycznie</c:v>
                </c:pt>
                <c:pt idx="4">
                  <c:v>Wymiana kotłów węglowych na kotły na biomasę zasilane automatycznie</c:v>
                </c:pt>
                <c:pt idx="5">
                  <c:v>Wymiana kotłów węglowych na kotły na pelety zasilane automatycznie</c:v>
                </c:pt>
                <c:pt idx="6">
                  <c:v>Wymiana ogrzewania węglowego na gazowe</c:v>
                </c:pt>
                <c:pt idx="7">
                  <c:v>Wymiana ogrzewania węglowego na olejowe</c:v>
                </c:pt>
                <c:pt idx="8">
                  <c:v>Wymiana ogrzewania węglowego na pompę ciepła</c:v>
                </c:pt>
                <c:pt idx="9">
                  <c:v>Zastosowanie kolektorów słonecznych</c:v>
                </c:pt>
                <c:pt idx="10">
                  <c:v>Termomodernizacja</c:v>
                </c:pt>
              </c:strCache>
            </c:strRef>
          </c:cat>
          <c:val>
            <c:numRef>
              <c:f>'Efekt ekologiczny '!$G$3:$G$13</c:f>
              <c:numCache>
                <c:formatCode>0.00</c:formatCode>
                <c:ptCount val="11"/>
                <c:pt idx="0">
                  <c:v>1.30284</c:v>
                </c:pt>
                <c:pt idx="1">
                  <c:v>1.9542600000000001</c:v>
                </c:pt>
                <c:pt idx="2">
                  <c:v>1.8648000000000001E-2</c:v>
                </c:pt>
                <c:pt idx="3">
                  <c:v>0.233072</c:v>
                </c:pt>
                <c:pt idx="4">
                  <c:v>1.2929000000000001E-2</c:v>
                </c:pt>
                <c:pt idx="5">
                  <c:v>0.47426400000000002</c:v>
                </c:pt>
                <c:pt idx="6">
                  <c:v>33.732573000000023</c:v>
                </c:pt>
                <c:pt idx="7">
                  <c:v>0.38715600000000011</c:v>
                </c:pt>
                <c:pt idx="8">
                  <c:v>1.0097009999999995</c:v>
                </c:pt>
                <c:pt idx="9">
                  <c:v>9.0216000000000018E-2</c:v>
                </c:pt>
                <c:pt idx="10">
                  <c:v>0.45895500000000006</c:v>
                </c:pt>
              </c:numCache>
            </c:numRef>
          </c:val>
          <c:extLst xmlns:c16r2="http://schemas.microsoft.com/office/drawing/2015/06/chart">
            <c:ext xmlns:c16="http://schemas.microsoft.com/office/drawing/2014/chart" uri="{C3380CC4-5D6E-409C-BE32-E72D297353CC}">
              <c16:uniqueId val="{00000000-5BAE-4116-B111-A035804684F2}"/>
            </c:ext>
          </c:extLst>
        </c:ser>
        <c:dLbls>
          <c:showVal val="1"/>
        </c:dLbls>
        <c:gapWidth val="115"/>
        <c:overlap val="-20"/>
        <c:axId val="146637568"/>
        <c:axId val="146639104"/>
      </c:barChart>
      <c:catAx>
        <c:axId val="146637568"/>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39104"/>
        <c:crosses val="autoZero"/>
        <c:auto val="1"/>
        <c:lblAlgn val="ctr"/>
        <c:lblOffset val="100"/>
      </c:catAx>
      <c:valAx>
        <c:axId val="146639104"/>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37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plotArea>
      <c:layout/>
      <c:barChart>
        <c:barDir val="bar"/>
        <c:grouping val="clustered"/>
        <c:ser>
          <c:idx val="0"/>
          <c:order val="0"/>
          <c:tx>
            <c:strRef>
              <c:f>'Efekt energetyczny'!$I$2</c:f>
              <c:strCache>
                <c:ptCount val="1"/>
                <c:pt idx="0">
                  <c:v>Ograniczenie zużycia energii cieplnej wskutek realizacji PONE [MWh/rok]</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 energetyczny'!$C$3:$C$13</c:f>
              <c:strCache>
                <c:ptCount val="11"/>
                <c:pt idx="0">
                  <c:v>Podłączenie lokalu do sieci cieplnej</c:v>
                </c:pt>
                <c:pt idx="1">
                  <c:v>Wymiana ogrzewania węglowego na elektryczne</c:v>
                </c:pt>
                <c:pt idx="2">
                  <c:v>Wymiana starych kotłów węglowych na nowe zasilane ręcznie</c:v>
                </c:pt>
                <c:pt idx="3">
                  <c:v>Wymiana starych kotłów węglowych na nowe zasilane automatycznie</c:v>
                </c:pt>
                <c:pt idx="4">
                  <c:v>Wymiana kotłów węglowych na kotły na biomasę zasilane automatycznie</c:v>
                </c:pt>
                <c:pt idx="5">
                  <c:v>Wymiana kotłów węglowych na kotły na pelety zasilane automatycznie</c:v>
                </c:pt>
                <c:pt idx="6">
                  <c:v>Wymiana ogrzewania węglowego na gazowe</c:v>
                </c:pt>
                <c:pt idx="7">
                  <c:v>Wymiana ogrzewania węglowego na olejowe</c:v>
                </c:pt>
                <c:pt idx="8">
                  <c:v>Wymiana ogrzewania węglowego na pompę ciepła</c:v>
                </c:pt>
                <c:pt idx="9">
                  <c:v>Zastosowanie kolektorów słonecznych</c:v>
                </c:pt>
                <c:pt idx="10">
                  <c:v>Termomodernizacja</c:v>
                </c:pt>
              </c:strCache>
            </c:strRef>
          </c:cat>
          <c:val>
            <c:numRef>
              <c:f>'Efekt energetyczny'!$I$3:$I$13</c:f>
              <c:numCache>
                <c:formatCode>0.00</c:formatCode>
                <c:ptCount val="11"/>
                <c:pt idx="0">
                  <c:v>50.4</c:v>
                </c:pt>
                <c:pt idx="1">
                  <c:v>100.80000000000001</c:v>
                </c:pt>
                <c:pt idx="2">
                  <c:v>7.56</c:v>
                </c:pt>
                <c:pt idx="3">
                  <c:v>20.16</c:v>
                </c:pt>
                <c:pt idx="4">
                  <c:v>1.26</c:v>
                </c:pt>
                <c:pt idx="5">
                  <c:v>22.679999999999996</c:v>
                </c:pt>
                <c:pt idx="6">
                  <c:v>1306.6199999999999</c:v>
                </c:pt>
                <c:pt idx="7">
                  <c:v>15.12</c:v>
                </c:pt>
                <c:pt idx="8">
                  <c:v>104.16</c:v>
                </c:pt>
                <c:pt idx="9">
                  <c:v>45.359999999999992</c:v>
                </c:pt>
                <c:pt idx="10">
                  <c:v>98.7</c:v>
                </c:pt>
              </c:numCache>
            </c:numRef>
          </c:val>
          <c:extLst xmlns:c16r2="http://schemas.microsoft.com/office/drawing/2015/06/chart">
            <c:ext xmlns:c16="http://schemas.microsoft.com/office/drawing/2014/chart" uri="{C3380CC4-5D6E-409C-BE32-E72D297353CC}">
              <c16:uniqueId val="{00000000-E2B2-4442-9D76-CF74A4F67F7A}"/>
            </c:ext>
          </c:extLst>
        </c:ser>
        <c:dLbls>
          <c:showVal val="1"/>
        </c:dLbls>
        <c:gapWidth val="115"/>
        <c:overlap val="-20"/>
        <c:axId val="146663296"/>
        <c:axId val="146664832"/>
      </c:barChart>
      <c:catAx>
        <c:axId val="146663296"/>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64832"/>
        <c:crosses val="autoZero"/>
        <c:auto val="1"/>
        <c:lblAlgn val="ctr"/>
        <c:lblOffset val="100"/>
      </c:catAx>
      <c:valAx>
        <c:axId val="146664832"/>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632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1C-4354-9D82-9D465031041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1C-4354-9D82-9D46503104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1C-4354-9D82-9D465031041E}"/>
              </c:ext>
            </c:extLst>
          </c:dPt>
          <c:dLbls>
            <c:dLbl>
              <c:idx val="0"/>
              <c:layout>
                <c:manualLayout>
                  <c:x val="-0.37028171478565192"/>
                  <c:y val="2.434857101195683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E1C-4354-9D82-9D465031041E}"/>
                </c:ext>
              </c:extLst>
            </c:dLbl>
            <c:dLbl>
              <c:idx val="1"/>
              <c:layout>
                <c:manualLayout>
                  <c:x val="4.3848206474190715E-2"/>
                  <c:y val="0.14932159521726449"/>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E1C-4354-9D82-9D465031041E}"/>
                </c:ext>
              </c:extLst>
            </c:dLbl>
            <c:dLbl>
              <c:idx val="2"/>
              <c:layout>
                <c:manualLayout>
                  <c:x val="-0.10847965879265092"/>
                  <c:y val="-0.12047499270924468"/>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E1C-4354-9D82-9D4650310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CatName val="1"/>
            <c:showPercent val="1"/>
            <c:extLst xmlns:c16r2="http://schemas.microsoft.com/office/drawing/2015/06/chart">
              <c:ext xmlns:c15="http://schemas.microsoft.com/office/drawing/2012/chart" uri="{CE6537A1-D6FC-4f65-9D91-7224C49458BB}"/>
            </c:extLst>
          </c:dLbls>
          <c:cat>
            <c:strRef>
              <c:f>Arkusz2!$A$2:$A$4</c:f>
              <c:strCache>
                <c:ptCount val="3"/>
                <c:pt idx="0">
                  <c:v>rolnictwo, leśnictwo, łowiectwo i rybactwo</c:v>
                </c:pt>
                <c:pt idx="1">
                  <c:v>przemysł i budownictwo</c:v>
                </c:pt>
                <c:pt idx="2">
                  <c:v>pozostała działalność</c:v>
                </c:pt>
              </c:strCache>
            </c:strRef>
          </c:cat>
          <c:val>
            <c:numRef>
              <c:f>Arkusz2!$I$2:$I$4</c:f>
              <c:numCache>
                <c:formatCode>General</c:formatCode>
                <c:ptCount val="3"/>
                <c:pt idx="0">
                  <c:v>75</c:v>
                </c:pt>
                <c:pt idx="1">
                  <c:v>633</c:v>
                </c:pt>
                <c:pt idx="2">
                  <c:v>2435</c:v>
                </c:pt>
              </c:numCache>
            </c:numRef>
          </c:val>
          <c:extLst xmlns:c16r2="http://schemas.microsoft.com/office/drawing/2015/06/chart">
            <c:ext xmlns:c16="http://schemas.microsoft.com/office/drawing/2014/chart" uri="{C3380CC4-5D6E-409C-BE32-E72D297353CC}">
              <c16:uniqueId val="{00000006-3E1C-4354-9D82-9D465031041E}"/>
            </c:ext>
          </c:extLst>
        </c:ser>
        <c:dLbls>
          <c:showCatName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plotArea>
      <c:layout/>
      <c:barChart>
        <c:barDir val="col"/>
        <c:grouping val="clustered"/>
        <c:ser>
          <c:idx val="0"/>
          <c:order val="0"/>
          <c:tx>
            <c:strRef>
              <c:f>Arkusz1!$B$1</c:f>
              <c:strCache>
                <c:ptCount val="1"/>
                <c:pt idx="0">
                  <c:v>BAP [rok]</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2015</c:v>
                </c:pt>
                <c:pt idx="1">
                  <c:v>2016</c:v>
                </c:pt>
                <c:pt idx="2">
                  <c:v>2017</c:v>
                </c:pt>
              </c:numCache>
            </c:numRef>
          </c:cat>
          <c:val>
            <c:numRef>
              <c:f>Arkusz1!$B$2:$B$4</c:f>
              <c:numCache>
                <c:formatCode>General</c:formatCode>
                <c:ptCount val="3"/>
                <c:pt idx="0">
                  <c:v>1.8</c:v>
                </c:pt>
                <c:pt idx="1">
                  <c:v>1.8</c:v>
                </c:pt>
                <c:pt idx="2">
                  <c:v>2.1</c:v>
                </c:pt>
              </c:numCache>
            </c:numRef>
          </c:val>
          <c:extLst xmlns:c16r2="http://schemas.microsoft.com/office/drawing/2015/06/chart">
            <c:ext xmlns:c16="http://schemas.microsoft.com/office/drawing/2014/chart" uri="{C3380CC4-5D6E-409C-BE32-E72D297353CC}">
              <c16:uniqueId val="{00000000-21ED-4DF8-B182-AE9BEC8C49DF}"/>
            </c:ext>
          </c:extLst>
        </c:ser>
        <c:dLbls>
          <c:showVal val="1"/>
        </c:dLbls>
        <c:gapWidth val="100"/>
        <c:overlap val="-24"/>
        <c:axId val="144142720"/>
        <c:axId val="144144256"/>
      </c:barChart>
      <c:catAx>
        <c:axId val="1441427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4144256"/>
        <c:crosses val="autoZero"/>
        <c:auto val="1"/>
        <c:lblAlgn val="ctr"/>
        <c:lblOffset val="100"/>
      </c:catAx>
      <c:valAx>
        <c:axId val="144144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41427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Pyły zawieszone</a:t>
            </a:r>
          </a:p>
        </c:rich>
      </c:tx>
      <c:spPr>
        <a:noFill/>
        <a:ln>
          <a:noFill/>
        </a:ln>
        <a:effectLst/>
      </c:spPr>
    </c:title>
    <c:plotArea>
      <c:layout/>
      <c:barChart>
        <c:barDir val="col"/>
        <c:grouping val="clustered"/>
        <c:ser>
          <c:idx val="0"/>
          <c:order val="0"/>
          <c:tx>
            <c:strRef>
              <c:f>Arkusz1!$C$1</c:f>
              <c:strCache>
                <c:ptCount val="1"/>
                <c:pt idx="0">
                  <c:v>PM10 [rok]</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Pt>
            <c:idx val="2"/>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3500000" scaled="1"/>
                <a:tileRect/>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extLst xmlns:c16r2="http://schemas.microsoft.com/office/drawing/2015/06/chart">
              <c:ext xmlns:c16="http://schemas.microsoft.com/office/drawing/2014/chart" uri="{C3380CC4-5D6E-409C-BE32-E72D297353CC}">
                <c16:uniqueId val="{00000000-C356-4BD4-A563-4A586AC00D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2015</c:v>
                </c:pt>
                <c:pt idx="1">
                  <c:v>2016</c:v>
                </c:pt>
                <c:pt idx="2">
                  <c:v>2017</c:v>
                </c:pt>
              </c:numCache>
            </c:numRef>
          </c:cat>
          <c:val>
            <c:numRef>
              <c:f>Arkusz1!$C$2:$C$4</c:f>
              <c:numCache>
                <c:formatCode>General</c:formatCode>
                <c:ptCount val="3"/>
                <c:pt idx="0">
                  <c:v>18.600000000000001</c:v>
                </c:pt>
                <c:pt idx="1">
                  <c:v>25</c:v>
                </c:pt>
                <c:pt idx="2">
                  <c:v>25.6</c:v>
                </c:pt>
              </c:numCache>
            </c:numRef>
          </c:val>
          <c:extLst xmlns:c16r2="http://schemas.microsoft.com/office/drawing/2015/06/chart">
            <c:ext xmlns:c16="http://schemas.microsoft.com/office/drawing/2014/chart" uri="{C3380CC4-5D6E-409C-BE32-E72D297353CC}">
              <c16:uniqueId val="{00000000-D11D-43BC-9285-9F982DA213F1}"/>
            </c:ext>
          </c:extLst>
        </c:ser>
        <c:ser>
          <c:idx val="1"/>
          <c:order val="1"/>
          <c:tx>
            <c:strRef>
              <c:f>Arkusz1!$D$1</c:f>
              <c:strCache>
                <c:ptCount val="1"/>
                <c:pt idx="0">
                  <c:v>PM2.5 [rok]</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t="100000"/>
              </a:path>
              <a:tileRect r="-100000" b="-10000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ontourW="1000" prstMaterial="flat">
              <a:bevelT w="95250" h="101600"/>
              <a:contourClr>
                <a:scrgbClr r="0" g="0" b="0">
                  <a:satMod val="3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2015</c:v>
                </c:pt>
                <c:pt idx="1">
                  <c:v>2016</c:v>
                </c:pt>
                <c:pt idx="2">
                  <c:v>2017</c:v>
                </c:pt>
              </c:numCache>
            </c:numRef>
          </c:cat>
          <c:val>
            <c:numRef>
              <c:f>Arkusz1!$D$2:$D$4</c:f>
              <c:numCache>
                <c:formatCode>General</c:formatCode>
                <c:ptCount val="3"/>
                <c:pt idx="0">
                  <c:v>18.399999999999999</c:v>
                </c:pt>
                <c:pt idx="1">
                  <c:v>18.2</c:v>
                </c:pt>
                <c:pt idx="2">
                  <c:v>19.2</c:v>
                </c:pt>
              </c:numCache>
            </c:numRef>
          </c:val>
          <c:extLst xmlns:c16r2="http://schemas.microsoft.com/office/drawing/2015/06/chart">
            <c:ext xmlns:c16="http://schemas.microsoft.com/office/drawing/2014/chart" uri="{C3380CC4-5D6E-409C-BE32-E72D297353CC}">
              <c16:uniqueId val="{00000001-D11D-43BC-9285-9F982DA213F1}"/>
            </c:ext>
          </c:extLst>
        </c:ser>
        <c:dLbls>
          <c:showVal val="1"/>
        </c:dLbls>
        <c:gapWidth val="100"/>
        <c:overlap val="-24"/>
        <c:axId val="132258816"/>
        <c:axId val="132276992"/>
      </c:barChart>
      <c:catAx>
        <c:axId val="1322588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276992"/>
        <c:crosses val="autoZero"/>
        <c:auto val="1"/>
        <c:lblAlgn val="ctr"/>
        <c:lblOffset val="100"/>
      </c:catAx>
      <c:valAx>
        <c:axId val="132276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25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770498442224243E-2"/>
          <c:y val="1.586718769611823E-2"/>
          <c:w val="0.91879759039471343"/>
          <c:h val="0.7991471629276945"/>
        </c:manualLayout>
      </c:layout>
      <c:ofPieChart>
        <c:ofPieType val="bar"/>
        <c:varyColors val="1"/>
        <c:ser>
          <c:idx val="0"/>
          <c:order val="0"/>
          <c:tx>
            <c:strRef>
              <c:f>'Ankiety 1-765'!$F$769</c:f>
              <c:strCache>
                <c:ptCount val="1"/>
              </c:strCache>
            </c:strRef>
          </c:tx>
          <c:dPt>
            <c:idx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8E74-4F6E-8864-DF8741FB7A60}"/>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8E74-4F6E-8864-DF8741FB7A60}"/>
              </c:ext>
            </c:extLst>
          </c:dPt>
          <c:dPt>
            <c:idx val="2"/>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8E74-4F6E-8864-DF8741FB7A60}"/>
              </c:ext>
            </c:extLst>
          </c:dPt>
          <c:dPt>
            <c:idx val="3"/>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8E74-4F6E-8864-DF8741FB7A60}"/>
              </c:ext>
            </c:extLst>
          </c:dPt>
          <c:dPt>
            <c:idx val="4"/>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9-8E74-4F6E-8864-DF8741FB7A60}"/>
              </c:ext>
            </c:extLst>
          </c:dPt>
          <c:dPt>
            <c:idx val="5"/>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E74-4F6E-8864-DF8741FB7A60}"/>
              </c:ext>
            </c:extLst>
          </c:dPt>
          <c:dPt>
            <c:idx val="6"/>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D-8E74-4F6E-8864-DF8741FB7A60}"/>
              </c:ext>
            </c:extLst>
          </c:dPt>
          <c:dPt>
            <c:idx val="7"/>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F-8E74-4F6E-8864-DF8741FB7A60}"/>
              </c:ext>
            </c:extLst>
          </c:dPt>
          <c:dPt>
            <c:idx val="8"/>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11-8E74-4F6E-8864-DF8741FB7A60}"/>
              </c:ext>
            </c:extLst>
          </c:dPt>
          <c:dLbls>
            <c:dLbl>
              <c:idx val="0"/>
              <c:layout>
                <c:manualLayout>
                  <c:x val="-0.16961062508916369"/>
                  <c:y val="-0.1169069594249709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74-4F6E-8864-DF8741FB7A60}"/>
                </c:ext>
              </c:extLst>
            </c:dLbl>
            <c:dLbl>
              <c:idx val="1"/>
              <c:layout>
                <c:manualLayout>
                  <c:x val="-6.5553781230297772E-2"/>
                  <c:y val="6.390219819759511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74-4F6E-8864-DF8741FB7A60}"/>
                </c:ext>
              </c:extLst>
            </c:dLbl>
            <c:dLbl>
              <c:idx val="2"/>
              <c:layout>
                <c:manualLayout>
                  <c:x val="-1.6652047658274244E-2"/>
                  <c:y val="-7.785987431698561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74-4F6E-8864-DF8741FB7A60}"/>
                </c:ext>
              </c:extLst>
            </c:dLbl>
            <c:dLbl>
              <c:idx val="3"/>
              <c:layout>
                <c:manualLayout>
                  <c:x val="1.9809661431128823E-2"/>
                  <c:y val="-0.13886550578627191"/>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74-4F6E-8864-DF8741FB7A60}"/>
                </c:ext>
              </c:extLst>
            </c:dLbl>
            <c:dLbl>
              <c:idx val="4"/>
              <c:layout>
                <c:manualLayout>
                  <c:x val="3.9785086770641104E-2"/>
                  <c:y val="1.6394018760407341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74-4F6E-8864-DF8741FB7A60}"/>
                </c:ext>
              </c:extLst>
            </c:dLbl>
            <c:dLbl>
              <c:idx val="8"/>
              <c:layout>
                <c:manualLayout>
                  <c:x val="7.0117857126420621E-3"/>
                  <c:y val="0.2051766005338597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E74-4F6E-8864-DF8741FB7A60}"/>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'Ankiety 1-765'!$E$770:$E$777</c:f>
              <c:strCache>
                <c:ptCount val="8"/>
                <c:pt idx="0">
                  <c:v>węgiel</c:v>
                </c:pt>
                <c:pt idx="1">
                  <c:v>drewno</c:v>
                </c:pt>
                <c:pt idx="2">
                  <c:v>gazowa</c:v>
                </c:pt>
                <c:pt idx="3">
                  <c:v>olej opałowy</c:v>
                </c:pt>
                <c:pt idx="4">
                  <c:v>energia elektryczna</c:v>
                </c:pt>
                <c:pt idx="5">
                  <c:v>ekogroszek</c:v>
                </c:pt>
                <c:pt idx="6">
                  <c:v>pellet</c:v>
                </c:pt>
                <c:pt idx="7">
                  <c:v>biomasa</c:v>
                </c:pt>
              </c:strCache>
            </c:strRef>
          </c:cat>
          <c:val>
            <c:numRef>
              <c:f>'Ankiety 1-765'!$F$770:$F$777</c:f>
              <c:numCache>
                <c:formatCode>General</c:formatCode>
                <c:ptCount val="8"/>
                <c:pt idx="0">
                  <c:v>400</c:v>
                </c:pt>
                <c:pt idx="1">
                  <c:v>258</c:v>
                </c:pt>
                <c:pt idx="2">
                  <c:v>113</c:v>
                </c:pt>
                <c:pt idx="3">
                  <c:v>18</c:v>
                </c:pt>
                <c:pt idx="4">
                  <c:v>7</c:v>
                </c:pt>
                <c:pt idx="5">
                  <c:v>9</c:v>
                </c:pt>
                <c:pt idx="6">
                  <c:v>5</c:v>
                </c:pt>
                <c:pt idx="7">
                  <c:v>1</c:v>
                </c:pt>
              </c:numCache>
            </c:numRef>
          </c:val>
          <c:extLst xmlns:c16r2="http://schemas.microsoft.com/office/drawing/2015/06/chart">
            <c:ext xmlns:c16="http://schemas.microsoft.com/office/drawing/2014/chart" uri="{C3380CC4-5D6E-409C-BE32-E72D297353CC}">
              <c16:uniqueId val="{00000012-8E74-4F6E-8864-DF8741FB7A60}"/>
            </c:ext>
          </c:extLst>
        </c:ser>
        <c:dLbls>
          <c:showVal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
          <c:y val="8.4422343829334542E-2"/>
          <c:w val="1"/>
          <c:h val="0.560174405016159"/>
        </c:manualLayout>
      </c:layout>
      <c:ofPieChart>
        <c:ofPieType val="bar"/>
        <c:varyColors val="1"/>
        <c:ser>
          <c:idx val="0"/>
          <c:order val="0"/>
          <c:tx>
            <c:strRef>
              <c:f>'Ankiety 1-765'!$J$769</c:f>
              <c:strCache>
                <c:ptCount val="1"/>
              </c:strCache>
            </c:strRef>
          </c:tx>
          <c:dPt>
            <c:idx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E88B-41B3-A618-4751145EE099}"/>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E88B-41B3-A618-4751145EE099}"/>
              </c:ext>
            </c:extLst>
          </c:dPt>
          <c:dPt>
            <c:idx val="2"/>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E88B-41B3-A618-4751145EE09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8B-41B3-A618-4751145EE099}"/>
              </c:ext>
            </c:extLst>
          </c:dPt>
          <c:dPt>
            <c:idx val="4"/>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E88B-41B3-A618-4751145EE099}"/>
              </c:ext>
            </c:extLst>
          </c:dPt>
          <c:dPt>
            <c:idx val="5"/>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B-E88B-41B3-A618-4751145EE099}"/>
              </c:ext>
            </c:extLst>
          </c:dPt>
          <c:dPt>
            <c:idx val="6"/>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8B-41B3-A618-4751145EE099}"/>
              </c:ext>
            </c:extLst>
          </c:dPt>
          <c:dPt>
            <c:idx val="7"/>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F-E88B-41B3-A618-4751145EE099}"/>
              </c:ext>
            </c:extLst>
          </c:dPt>
          <c:dPt>
            <c:idx val="8"/>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11-E88B-41B3-A618-4751145EE099}"/>
              </c:ext>
            </c:extLst>
          </c:dPt>
          <c:dPt>
            <c:idx val="9"/>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13-E88B-41B3-A618-4751145EE099}"/>
              </c:ext>
            </c:extLst>
          </c:dPt>
          <c:dPt>
            <c:idx val="1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15-E88B-41B3-A618-4751145EE099}"/>
              </c:ext>
            </c:extLst>
          </c:dPt>
          <c:dLbls>
            <c:dLbl>
              <c:idx val="0"/>
              <c:layout>
                <c:manualLayout>
                  <c:x val="-3.4487351809907404E-2"/>
                  <c:y val="9.202105110453823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8B-41B3-A618-4751145EE099}"/>
                </c:ext>
              </c:extLst>
            </c:dLbl>
            <c:dLbl>
              <c:idx val="1"/>
              <c:layout>
                <c:manualLayout>
                  <c:x val="-5.7606262005199749E-2"/>
                  <c:y val="6.4726504888014923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8B-41B3-A618-4751145EE099}"/>
                </c:ext>
              </c:extLst>
            </c:dLbl>
            <c:dLbl>
              <c:idx val="2"/>
              <c:layout>
                <c:manualLayout>
                  <c:x val="-0.11065173409732521"/>
                  <c:y val="6.6546957986444125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8B-41B3-A618-4751145EE099}"/>
                </c:ext>
              </c:extLst>
            </c:dLbl>
            <c:dLbl>
              <c:idx val="3"/>
              <c:layout>
                <c:manualLayout>
                  <c:x val="-6.4363497681514018E-2"/>
                  <c:y val="1.9447287615148419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8B-41B3-A618-4751145EE099}"/>
                </c:ext>
              </c:extLst>
            </c:dLbl>
            <c:dLbl>
              <c:idx val="4"/>
              <c:layout>
                <c:manualLayout>
                  <c:x val="-1.2610145527438131E-2"/>
                  <c:y val="-7.8488704776795426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8B-41B3-A618-4751145EE099}"/>
                </c:ext>
              </c:extLst>
            </c:dLbl>
            <c:dLbl>
              <c:idx val="5"/>
              <c:layout>
                <c:manualLayout>
                  <c:x val="3.1805070438256658E-2"/>
                  <c:y val="-1.4571361793695958E-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88B-41B3-A618-4751145EE099}"/>
                </c:ext>
              </c:extLst>
            </c:dLbl>
            <c:dLbl>
              <c:idx val="10"/>
              <c:layout>
                <c:manualLayout>
                  <c:x val="1.2325322890456764E-2"/>
                  <c:y val="7.25437825901240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88B-41B3-A618-4751145EE099}"/>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'Ankiety 1-765'!$I$770:$I$779</c:f>
              <c:strCache>
                <c:ptCount val="10"/>
                <c:pt idx="0">
                  <c:v>kominek</c:v>
                </c:pt>
                <c:pt idx="1">
                  <c:v>piec kaflowy</c:v>
                </c:pt>
                <c:pt idx="2">
                  <c:v>piec węglowy</c:v>
                </c:pt>
                <c:pt idx="3">
                  <c:v>kocioł gazowy</c:v>
                </c:pt>
                <c:pt idx="4">
                  <c:v>piec metalowy</c:v>
                </c:pt>
                <c:pt idx="5">
                  <c:v>rusztowy</c:v>
                </c:pt>
                <c:pt idx="6">
                  <c:v>górnego spalania</c:v>
                </c:pt>
                <c:pt idx="7">
                  <c:v>dolnego spalania</c:v>
                </c:pt>
                <c:pt idx="8">
                  <c:v>podajnikowy z palnikiem retorterowym</c:v>
                </c:pt>
                <c:pt idx="9">
                  <c:v>fotowoltaila</c:v>
                </c:pt>
              </c:strCache>
            </c:strRef>
          </c:cat>
          <c:val>
            <c:numRef>
              <c:f>'Ankiety 1-765'!$J$770:$J$779</c:f>
              <c:numCache>
                <c:formatCode>General</c:formatCode>
                <c:ptCount val="10"/>
                <c:pt idx="0">
                  <c:v>3</c:v>
                </c:pt>
                <c:pt idx="1">
                  <c:v>34</c:v>
                </c:pt>
                <c:pt idx="2">
                  <c:v>12</c:v>
                </c:pt>
                <c:pt idx="3">
                  <c:v>0</c:v>
                </c:pt>
                <c:pt idx="4">
                  <c:v>10</c:v>
                </c:pt>
                <c:pt idx="5">
                  <c:v>1</c:v>
                </c:pt>
                <c:pt idx="6">
                  <c:v>8</c:v>
                </c:pt>
                <c:pt idx="7">
                  <c:v>6</c:v>
                </c:pt>
                <c:pt idx="8">
                  <c:v>9</c:v>
                </c:pt>
                <c:pt idx="9">
                  <c:v>1</c:v>
                </c:pt>
              </c:numCache>
            </c:numRef>
          </c:val>
          <c:extLst xmlns:c16r2="http://schemas.microsoft.com/office/drawing/2015/06/chart">
            <c:ext xmlns:c16="http://schemas.microsoft.com/office/drawing/2014/chart" uri="{C3380CC4-5D6E-409C-BE32-E72D297353CC}">
              <c16:uniqueId val="{00000016-E88B-41B3-A618-4751145EE099}"/>
            </c:ext>
          </c:extLst>
        </c:ser>
        <c:dLbls>
          <c:showVal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doughnutChart>
        <c:varyColors val="1"/>
        <c:ser>
          <c:idx val="0"/>
          <c:order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c:spPr>
          <c:dPt>
            <c:idx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848-4E35-8646-7EF9C6741460}"/>
              </c:ext>
            </c:extLst>
          </c:dPt>
          <c:dPt>
            <c:idx val="1"/>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848-4E35-8646-7EF9C6741460}"/>
              </c:ext>
            </c:extLst>
          </c:dPt>
          <c:dLbls>
            <c:dLbl>
              <c:idx val="0"/>
              <c:layout>
                <c:manualLayout>
                  <c:x val="0.31944444444444448"/>
                  <c:y val="-0.1342592592592593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48-4E35-8646-7EF9C6741460}"/>
                </c:ext>
              </c:extLst>
            </c:dLbl>
            <c:dLbl>
              <c:idx val="1"/>
              <c:layout>
                <c:manualLayout>
                  <c:x val="-0.28611111111111109"/>
                  <c:y val="4.500546806649169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48-4E35-8646-7EF9C674146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pl-PL"/>
              </a:p>
            </c:txPr>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'Ankiety 1-765'!$B$774:$B$775</c:f>
              <c:strCache>
                <c:ptCount val="2"/>
                <c:pt idx="0">
                  <c:v>centralne ogrzewanie</c:v>
                </c:pt>
                <c:pt idx="1">
                  <c:v>ogrzewanie pokojowe</c:v>
                </c:pt>
              </c:strCache>
            </c:strRef>
          </c:cat>
          <c:val>
            <c:numRef>
              <c:f>'Ankiety 1-765'!$C$774:$C$775</c:f>
              <c:numCache>
                <c:formatCode>General</c:formatCode>
                <c:ptCount val="2"/>
                <c:pt idx="0">
                  <c:v>497</c:v>
                </c:pt>
                <c:pt idx="1">
                  <c:v>45</c:v>
                </c:pt>
              </c:numCache>
            </c:numRef>
          </c:val>
          <c:extLst xmlns:c16r2="http://schemas.microsoft.com/office/drawing/2015/06/chart">
            <c:ext xmlns:c16="http://schemas.microsoft.com/office/drawing/2014/chart" uri="{C3380CC4-5D6E-409C-BE32-E72D297353CC}">
              <c16:uniqueId val="{00000004-5848-4E35-8646-7EF9C6741460}"/>
            </c:ext>
          </c:extLst>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1F2D-46DD-B396-06BB978FBE5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F2D-46DD-B396-06BB978FBE5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F2D-46DD-B396-06BB978FBE51}"/>
              </c:ext>
            </c:extLst>
          </c:dPt>
          <c:dPt>
            <c:idx val="3"/>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F2D-46DD-B396-06BB978FBE51}"/>
              </c:ext>
            </c:extLst>
          </c:dPt>
          <c:dPt>
            <c:idx val="4"/>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9-1F2D-46DD-B396-06BB978FBE51}"/>
              </c:ext>
            </c:extLst>
          </c:dPt>
          <c:dPt>
            <c:idx val="5"/>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B-1F2D-46DD-B396-06BB978FBE51}"/>
              </c:ext>
            </c:extLst>
          </c:dPt>
          <c:dLbls>
            <c:dLbl>
              <c:idx val="0"/>
              <c:layout>
                <c:manualLayout>
                  <c:x val="3.1260717410323748E-2"/>
                  <c:y val="2.4551618547681547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2D-46DD-B396-06BB978FBE51}"/>
                </c:ext>
              </c:extLst>
            </c:dLbl>
            <c:dLbl>
              <c:idx val="1"/>
              <c:layout>
                <c:manualLayout>
                  <c:x val="-2.0911198600174995E-2"/>
                  <c:y val="-7.4752114319043515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2D-46DD-B396-06BB978FBE51}"/>
                </c:ext>
              </c:extLst>
            </c:dLbl>
            <c:dLbl>
              <c:idx val="2"/>
              <c:layout>
                <c:manualLayout>
                  <c:x val="-3.0670166229221339E-2"/>
                  <c:y val="5.7801837270341237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2D-46DD-B396-06BB978FBE51}"/>
                </c:ext>
              </c:extLst>
            </c:dLbl>
            <c:dLbl>
              <c:idx val="3"/>
              <c:layout>
                <c:manualLayout>
                  <c:x val="-7.1144138232720908E-2"/>
                  <c:y val="1.426509186351706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2D-46DD-B396-06BB978FBE51}"/>
                </c:ext>
              </c:extLst>
            </c:dLbl>
            <c:dLbl>
              <c:idx val="4"/>
              <c:layout>
                <c:manualLayout>
                  <c:x val="-3.7578958880139998E-2"/>
                  <c:y val="-4.0726523767862371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2D-46DD-B396-06BB978FBE51}"/>
                </c:ext>
              </c:extLst>
            </c:dLbl>
            <c:dLbl>
              <c:idx val="5"/>
              <c:layout>
                <c:manualLayout>
                  <c:x val="2.0776902887139122E-2"/>
                  <c:y val="-8.9093030037911934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2D-46DD-B396-06BB978FBE51}"/>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numRef>
              <c:f>'Ankiety 1-765'!$L$770:$L$775</c:f>
              <c:numCache>
                <c:formatCode>@</c:formatCode>
                <c:ptCount val="6"/>
                <c:pt idx="0">
                  <c:v>2019</c:v>
                </c:pt>
                <c:pt idx="1">
                  <c:v>2020</c:v>
                </c:pt>
                <c:pt idx="2">
                  <c:v>2021</c:v>
                </c:pt>
                <c:pt idx="3">
                  <c:v>2022</c:v>
                </c:pt>
                <c:pt idx="4">
                  <c:v>2023</c:v>
                </c:pt>
                <c:pt idx="5">
                  <c:v>2024</c:v>
                </c:pt>
              </c:numCache>
            </c:numRef>
          </c:cat>
          <c:val>
            <c:numRef>
              <c:f>'Ankiety 1-765'!$M$770:$M$775</c:f>
              <c:numCache>
                <c:formatCode>General</c:formatCode>
                <c:ptCount val="6"/>
                <c:pt idx="0">
                  <c:v>224</c:v>
                </c:pt>
                <c:pt idx="1">
                  <c:v>67</c:v>
                </c:pt>
                <c:pt idx="2">
                  <c:v>29</c:v>
                </c:pt>
                <c:pt idx="3">
                  <c:v>16</c:v>
                </c:pt>
                <c:pt idx="4">
                  <c:v>4</c:v>
                </c:pt>
                <c:pt idx="5">
                  <c:v>46</c:v>
                </c:pt>
              </c:numCache>
            </c:numRef>
          </c:val>
          <c:extLst xmlns:c16r2="http://schemas.microsoft.com/office/drawing/2015/06/chart">
            <c:ext xmlns:c16="http://schemas.microsoft.com/office/drawing/2014/chart" uri="{C3380CC4-5D6E-409C-BE32-E72D297353CC}">
              <c16:uniqueId val="{0000000C-1F2D-46DD-B396-06BB978FBE51}"/>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4994445138802085E-2"/>
          <c:y val="0"/>
          <c:w val="0.57258606563068493"/>
          <c:h val="0.91105769230769251"/>
        </c:manualLayout>
      </c:layout>
      <c:ofPieChart>
        <c:ofPieType val="bar"/>
        <c:varyColors val="1"/>
        <c:ser>
          <c:idx val="0"/>
          <c:order val="0"/>
          <c:dPt>
            <c:idx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D1E6-41C5-9D4A-C8ADB55E1B78}"/>
              </c:ext>
            </c:extLst>
          </c:dPt>
          <c:dPt>
            <c:idx val="1"/>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D1E6-41C5-9D4A-C8ADB55E1B78}"/>
              </c:ext>
            </c:extLst>
          </c:dPt>
          <c:dPt>
            <c:idx val="2"/>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D1E6-41C5-9D4A-C8ADB55E1B78}"/>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D1E6-41C5-9D4A-C8ADB55E1B7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1E6-41C5-9D4A-C8ADB55E1B78}"/>
              </c:ext>
            </c:extLst>
          </c:dPt>
          <c:dPt>
            <c:idx val="5"/>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1E6-41C5-9D4A-C8ADB55E1B78}"/>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D1E6-41C5-9D4A-C8ADB55E1B78}"/>
              </c:ext>
            </c:extLst>
          </c:dPt>
          <c:dPt>
            <c:idx val="7"/>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F-D1E6-41C5-9D4A-C8ADB55E1B78}"/>
              </c:ext>
            </c:extLst>
          </c:dPt>
          <c:dPt>
            <c:idx val="8"/>
            <c:spPr>
              <a:solidFill>
                <a:srgbClr val="9A8536"/>
              </a:solidFill>
              <a:ln w="19050">
                <a:solidFill>
                  <a:schemeClr val="lt1"/>
                </a:solidFill>
              </a:ln>
              <a:effectLst/>
            </c:spPr>
            <c:extLst xmlns:c16r2="http://schemas.microsoft.com/office/drawing/2015/06/chart">
              <c:ext xmlns:c16="http://schemas.microsoft.com/office/drawing/2014/chart" uri="{C3380CC4-5D6E-409C-BE32-E72D297353CC}">
                <c16:uniqueId val="{00000011-D1E6-41C5-9D4A-C8ADB55E1B78}"/>
              </c:ext>
            </c:extLst>
          </c:dPt>
          <c:dPt>
            <c:idx val="9"/>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1E6-41C5-9D4A-C8ADB55E1B78}"/>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D1E6-41C5-9D4A-C8ADB55E1B78}"/>
              </c:ext>
            </c:extLst>
          </c:dPt>
          <c:dPt>
            <c:idx val="1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17-D1E6-41C5-9D4A-C8ADB55E1B78}"/>
              </c:ext>
            </c:extLst>
          </c:dPt>
          <c:dLbls>
            <c:dLbl>
              <c:idx val="0"/>
              <c:layout>
                <c:manualLayout>
                  <c:x val="1.806563340974783E-2"/>
                  <c:y val="-2.0887767019553201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E6-41C5-9D4A-C8ADB55E1B78}"/>
                </c:ext>
              </c:extLst>
            </c:dLbl>
            <c:dLbl>
              <c:idx val="2"/>
              <c:layout>
                <c:manualLayout>
                  <c:x val="2.3485258787096067E-2"/>
                  <c:y val="6.0758631132646845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E6-41C5-9D4A-C8ADB55E1B78}"/>
                </c:ext>
              </c:extLst>
            </c:dLbl>
            <c:dLbl>
              <c:idx val="3"/>
              <c:layout>
                <c:manualLayout>
                  <c:x val="-1.2385604577205608E-2"/>
                  <c:y val="0.1045790430042399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E6-41C5-9D4A-C8ADB55E1B78}"/>
                </c:ext>
              </c:extLst>
            </c:dLbl>
            <c:dLbl>
              <c:idx val="5"/>
              <c:layout>
                <c:manualLayout>
                  <c:x val="-6.2538996312169873E-2"/>
                  <c:y val="-1.1151716083336476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E6-41C5-9D4A-C8ADB55E1B78}"/>
                </c:ext>
              </c:extLst>
            </c:dLbl>
            <c:dLbl>
              <c:idx val="6"/>
              <c:layout>
                <c:manualLayout>
                  <c:x val="-1.6839679059104953E-2"/>
                  <c:y val="-1.1881098594733084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1E6-41C5-9D4A-C8ADB55E1B78}"/>
                </c:ext>
              </c:extLst>
            </c:dLbl>
            <c:dLbl>
              <c:idx val="11"/>
              <c:layout>
                <c:manualLayout>
                  <c:x val="1.9789694009767775E-3"/>
                  <c:y val="4.7871001770711701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1E6-41C5-9D4A-C8ADB55E1B78}"/>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'Ankiety 1-765'!$O$768:$Y$768</c:f>
              <c:strCache>
                <c:ptCount val="11"/>
                <c:pt idx="0">
                  <c:v>podłaczenie lokalu do sieci cieplnej</c:v>
                </c:pt>
                <c:pt idx="1">
                  <c:v>wymiana ogrzewania węglowego na elektryczne</c:v>
                </c:pt>
                <c:pt idx="2">
                  <c:v>wymiana starych kotłów węglowych na nowe zasilane ręcznie</c:v>
                </c:pt>
                <c:pt idx="3">
                  <c:v>wymiana starych kotłów węglowych na nowe zasilane automatycznie</c:v>
                </c:pt>
                <c:pt idx="4">
                  <c:v>wymiana kotłów węglowych na kotły na biomasę zasialane automatycznie</c:v>
                </c:pt>
                <c:pt idx="5">
                  <c:v>wymiana kotłów węglowych na kotły na pelety zasilane automatycznie</c:v>
                </c:pt>
                <c:pt idx="6">
                  <c:v>wymianan ogrzewania węglowego na gazowe</c:v>
                </c:pt>
                <c:pt idx="7">
                  <c:v>wymianan ogrzewania węglowego na olejowe</c:v>
                </c:pt>
                <c:pt idx="8">
                  <c:v>wymiana ogrzewania węglowego na pompę ciepła</c:v>
                </c:pt>
                <c:pt idx="9">
                  <c:v>zastosowanie kolektorów słonecznych</c:v>
                </c:pt>
                <c:pt idx="10">
                  <c:v>termomodernizacja</c:v>
                </c:pt>
              </c:strCache>
            </c:strRef>
          </c:cat>
          <c:val>
            <c:numRef>
              <c:f>'Ankiety 1-765'!$O$769:$Y$769</c:f>
              <c:numCache>
                <c:formatCode>General</c:formatCode>
                <c:ptCount val="11"/>
                <c:pt idx="0">
                  <c:v>54</c:v>
                </c:pt>
                <c:pt idx="1">
                  <c:v>11</c:v>
                </c:pt>
                <c:pt idx="2">
                  <c:v>6</c:v>
                </c:pt>
                <c:pt idx="3">
                  <c:v>16</c:v>
                </c:pt>
                <c:pt idx="4">
                  <c:v>1</c:v>
                </c:pt>
                <c:pt idx="5">
                  <c:v>10</c:v>
                </c:pt>
                <c:pt idx="6">
                  <c:v>305</c:v>
                </c:pt>
                <c:pt idx="7">
                  <c:v>8</c:v>
                </c:pt>
                <c:pt idx="8">
                  <c:v>14</c:v>
                </c:pt>
                <c:pt idx="9">
                  <c:v>36</c:v>
                </c:pt>
                <c:pt idx="10">
                  <c:v>13</c:v>
                </c:pt>
              </c:numCache>
            </c:numRef>
          </c:val>
          <c:extLst xmlns:c16r2="http://schemas.microsoft.com/office/drawing/2015/06/chart">
            <c:ext xmlns:c16="http://schemas.microsoft.com/office/drawing/2014/chart" uri="{C3380CC4-5D6E-409C-BE32-E72D297353CC}">
              <c16:uniqueId val="{00000018-D1E6-41C5-9D4A-C8ADB55E1B78}"/>
            </c:ext>
          </c:extLst>
        </c:ser>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9312169312169325"/>
          <c:y val="5.3782934585099959E-2"/>
          <c:w val="0.29365079365079372"/>
          <c:h val="0.8876264385221076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theme/theme1.xml><?xml version="1.0" encoding="utf-8"?>
<a:theme xmlns:a="http://schemas.openxmlformats.org/drawingml/2006/main" name="Grupa CD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DE">
      <a:majorFont>
        <a:latin typeface="Calibri"/>
        <a:ea typeface=""/>
        <a:cs typeface=""/>
      </a:majorFont>
      <a:minorFont>
        <a:latin typeface="Calibri"/>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ADF41-64DC-4227-92B8-399AE76A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20809</Words>
  <Characters>124860</Characters>
  <Application>Microsoft Office Word</Application>
  <DocSecurity>0</DocSecurity>
  <Lines>1040</Lines>
  <Paragraphs>290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Płachetka</dc:creator>
  <cp:lastModifiedBy>ezembrzuska</cp:lastModifiedBy>
  <cp:revision>2</cp:revision>
  <cp:lastPrinted>2019-02-06T21:24:00Z</cp:lastPrinted>
  <dcterms:created xsi:type="dcterms:W3CDTF">2019-02-11T11:24:00Z</dcterms:created>
  <dcterms:modified xsi:type="dcterms:W3CDTF">2019-02-11T11:24:00Z</dcterms:modified>
</cp:coreProperties>
</file>