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95EC1" w14:textId="62463FB1" w:rsidR="0010515D" w:rsidRPr="009A15F9" w:rsidRDefault="0010515D" w:rsidP="0010515D">
      <w:pPr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 xml:space="preserve">ZARZĄDZENIE NR </w:t>
      </w:r>
      <w:r w:rsidR="00562C80">
        <w:rPr>
          <w:rFonts w:ascii="Century Gothic" w:hAnsi="Century Gothic"/>
          <w:b/>
          <w:sz w:val="20"/>
          <w:szCs w:val="20"/>
        </w:rPr>
        <w:t>6</w:t>
      </w:r>
      <w:r w:rsidRPr="009A15F9">
        <w:rPr>
          <w:rFonts w:ascii="Century Gothic" w:hAnsi="Century Gothic"/>
          <w:b/>
          <w:sz w:val="20"/>
          <w:szCs w:val="20"/>
        </w:rPr>
        <w:t>/202</w:t>
      </w:r>
      <w:r>
        <w:rPr>
          <w:rFonts w:ascii="Century Gothic" w:hAnsi="Century Gothic"/>
          <w:b/>
          <w:sz w:val="20"/>
          <w:szCs w:val="20"/>
        </w:rPr>
        <w:t>5</w:t>
      </w:r>
    </w:p>
    <w:p w14:paraId="69A4F1F2" w14:textId="77777777" w:rsidR="0010515D" w:rsidRPr="009A15F9" w:rsidRDefault="0010515D" w:rsidP="0010515D">
      <w:pPr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BURMISTRZA MIASTA MŁAWA</w:t>
      </w:r>
    </w:p>
    <w:p w14:paraId="4F920AB4" w14:textId="00257068" w:rsidR="0010515D" w:rsidRPr="009A15F9" w:rsidRDefault="0010515D" w:rsidP="0010515D">
      <w:pPr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 xml:space="preserve">z dnia </w:t>
      </w:r>
      <w:r w:rsidR="00562C80">
        <w:rPr>
          <w:rFonts w:ascii="Century Gothic" w:hAnsi="Century Gothic"/>
          <w:b/>
          <w:sz w:val="20"/>
          <w:szCs w:val="20"/>
        </w:rPr>
        <w:t>02 s</w:t>
      </w:r>
      <w:r>
        <w:rPr>
          <w:rFonts w:ascii="Century Gothic" w:hAnsi="Century Gothic"/>
          <w:b/>
          <w:sz w:val="20"/>
          <w:szCs w:val="20"/>
        </w:rPr>
        <w:t>tycznia</w:t>
      </w:r>
      <w:r w:rsidRPr="009A15F9">
        <w:rPr>
          <w:rFonts w:ascii="Century Gothic" w:hAnsi="Century Gothic"/>
          <w:b/>
          <w:sz w:val="20"/>
          <w:szCs w:val="20"/>
        </w:rPr>
        <w:t xml:space="preserve"> 202</w:t>
      </w:r>
      <w:r>
        <w:rPr>
          <w:rFonts w:ascii="Century Gothic" w:hAnsi="Century Gothic"/>
          <w:b/>
          <w:sz w:val="20"/>
          <w:szCs w:val="20"/>
        </w:rPr>
        <w:t>5</w:t>
      </w:r>
      <w:r w:rsidRPr="009A15F9">
        <w:rPr>
          <w:rFonts w:ascii="Century Gothic" w:hAnsi="Century Gothic"/>
          <w:b/>
          <w:sz w:val="20"/>
          <w:szCs w:val="20"/>
        </w:rPr>
        <w:t> r.</w:t>
      </w:r>
    </w:p>
    <w:p w14:paraId="30B187AA" w14:textId="77777777" w:rsidR="0010515D" w:rsidRPr="009A15F9" w:rsidRDefault="0010515D" w:rsidP="0010515D">
      <w:pPr>
        <w:jc w:val="center"/>
        <w:rPr>
          <w:rFonts w:ascii="Century Gothic" w:hAnsi="Century Gothic"/>
          <w:b/>
          <w:sz w:val="20"/>
          <w:szCs w:val="20"/>
        </w:rPr>
      </w:pPr>
    </w:p>
    <w:p w14:paraId="0BCAB8BD" w14:textId="58C696C8" w:rsidR="007E1531" w:rsidRPr="0010515D" w:rsidRDefault="0010515D" w:rsidP="0010515D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w sprawie</w:t>
      </w:r>
    </w:p>
    <w:p w14:paraId="655A0915" w14:textId="06981891" w:rsidR="00B709DC" w:rsidRPr="0010515D" w:rsidRDefault="00B709DC" w:rsidP="0010515D">
      <w:pPr>
        <w:pStyle w:val="Akapitzlist"/>
        <w:spacing w:line="276" w:lineRule="auto"/>
        <w:ind w:left="0"/>
        <w:jc w:val="center"/>
        <w:rPr>
          <w:rFonts w:ascii="Century Gothic" w:eastAsiaTheme="minorEastAsia" w:hAnsi="Century Gothic"/>
          <w:b/>
          <w:color w:val="auto"/>
          <w:sz w:val="20"/>
          <w:szCs w:val="20"/>
        </w:rPr>
      </w:pPr>
      <w:r w:rsidRPr="0010515D">
        <w:rPr>
          <w:rFonts w:ascii="Century Gothic" w:eastAsiaTheme="minorEastAsia" w:hAnsi="Century Gothic"/>
          <w:b/>
          <w:color w:val="auto"/>
          <w:sz w:val="20"/>
          <w:szCs w:val="20"/>
        </w:rPr>
        <w:t>powołania</w:t>
      </w:r>
      <w:r w:rsidR="0010515D">
        <w:rPr>
          <w:rFonts w:ascii="Century Gothic" w:eastAsiaTheme="minorEastAsia" w:hAnsi="Century Gothic"/>
          <w:b/>
          <w:color w:val="auto"/>
          <w:sz w:val="20"/>
          <w:szCs w:val="20"/>
        </w:rPr>
        <w:t xml:space="preserve"> </w:t>
      </w:r>
      <w:r w:rsidRPr="0010515D">
        <w:rPr>
          <w:rFonts w:ascii="Century Gothic" w:eastAsiaTheme="minorEastAsia" w:hAnsi="Century Gothic"/>
          <w:b/>
          <w:color w:val="auto"/>
          <w:sz w:val="20"/>
          <w:szCs w:val="20"/>
        </w:rPr>
        <w:t xml:space="preserve">„Administratora Systemu Teleinformatycznego Ochrony Informacji Niejawnych” </w:t>
      </w:r>
      <w:r w:rsidRPr="0010515D">
        <w:rPr>
          <w:rFonts w:ascii="Century Gothic" w:eastAsiaTheme="minorEastAsia" w:hAnsi="Century Gothic"/>
          <w:b/>
          <w:color w:val="auto"/>
          <w:sz w:val="20"/>
          <w:szCs w:val="20"/>
        </w:rPr>
        <w:br/>
        <w:t>oraz „Inspektora Bezpieczeństwa Teleinformatycznego Ochrony Informacji Niejawnych”</w:t>
      </w:r>
      <w:r w:rsidR="0010515D">
        <w:rPr>
          <w:rFonts w:ascii="Century Gothic" w:eastAsiaTheme="minorEastAsia" w:hAnsi="Century Gothic"/>
          <w:b/>
          <w:color w:val="auto"/>
          <w:sz w:val="20"/>
          <w:szCs w:val="20"/>
        </w:rPr>
        <w:t xml:space="preserve">  </w:t>
      </w:r>
      <w:r w:rsidR="0010515D">
        <w:rPr>
          <w:rFonts w:ascii="Century Gothic" w:eastAsiaTheme="minorEastAsia" w:hAnsi="Century Gothic"/>
          <w:b/>
          <w:color w:val="auto"/>
          <w:sz w:val="20"/>
          <w:szCs w:val="20"/>
        </w:rPr>
        <w:br/>
        <w:t>w Urzędzie Miasta Mława</w:t>
      </w:r>
    </w:p>
    <w:p w14:paraId="4A1B5EEB" w14:textId="77777777" w:rsidR="00B709DC" w:rsidRPr="0010515D" w:rsidRDefault="00B709DC" w:rsidP="00B709DC">
      <w:pPr>
        <w:pStyle w:val="Akapitzlist"/>
        <w:tabs>
          <w:tab w:val="left" w:pos="2340"/>
        </w:tabs>
        <w:ind w:left="0"/>
        <w:jc w:val="both"/>
        <w:rPr>
          <w:rFonts w:ascii="Century Gothic" w:eastAsiaTheme="minorEastAsia" w:hAnsi="Century Gothic"/>
          <w:b/>
          <w:color w:val="auto"/>
          <w:sz w:val="20"/>
          <w:szCs w:val="20"/>
        </w:rPr>
      </w:pPr>
    </w:p>
    <w:p w14:paraId="1715339E" w14:textId="3208DE42" w:rsidR="00B709DC" w:rsidRPr="0010515D" w:rsidRDefault="00B709DC" w:rsidP="0010515D">
      <w:pPr>
        <w:pStyle w:val="Akapitzlist"/>
        <w:tabs>
          <w:tab w:val="left" w:pos="2340"/>
        </w:tabs>
        <w:spacing w:line="276" w:lineRule="auto"/>
        <w:ind w:left="0"/>
        <w:jc w:val="both"/>
        <w:rPr>
          <w:rFonts w:ascii="Century Gothic" w:eastAsiaTheme="minorEastAsia" w:hAnsi="Century Gothic"/>
          <w:bCs/>
          <w:color w:val="auto"/>
          <w:sz w:val="20"/>
          <w:szCs w:val="20"/>
        </w:rPr>
      </w:pP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>Na podstawie art. 52 ust. 1 pkt. 1 i 2 ustawy z dnia 5 sierpnia 2010</w:t>
      </w:r>
      <w:r w:rsidR="0010515D">
        <w:rPr>
          <w:rFonts w:ascii="Century Gothic" w:eastAsiaTheme="minorEastAsia" w:hAnsi="Century Gothic"/>
          <w:bCs/>
          <w:color w:val="auto"/>
          <w:sz w:val="20"/>
          <w:szCs w:val="20"/>
        </w:rPr>
        <w:t> </w:t>
      </w: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>r. o ochronie informacji niejawnych (Dz. U. z 20</w:t>
      </w:r>
      <w:r w:rsidR="0010515D">
        <w:rPr>
          <w:rFonts w:ascii="Century Gothic" w:eastAsiaTheme="minorEastAsia" w:hAnsi="Century Gothic"/>
          <w:bCs/>
          <w:color w:val="auto"/>
          <w:sz w:val="20"/>
          <w:szCs w:val="20"/>
        </w:rPr>
        <w:t>24 </w:t>
      </w: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 xml:space="preserve">r. poz. </w:t>
      </w:r>
      <w:r w:rsidR="0010515D">
        <w:rPr>
          <w:rFonts w:ascii="Century Gothic" w:eastAsiaTheme="minorEastAsia" w:hAnsi="Century Gothic"/>
          <w:bCs/>
          <w:color w:val="auto"/>
          <w:sz w:val="20"/>
          <w:szCs w:val="20"/>
        </w:rPr>
        <w:t>632 ze zm.</w:t>
      </w: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 xml:space="preserve">), oraz Rozporządzenia Prezesa Rady Ministrów z dnia 20 lipca 2011 r. w sprawie podstawowych wymagań bezpieczeństwa teleinformatycznego </w:t>
      </w:r>
      <w:bookmarkStart w:id="0" w:name="_Hlk69282233"/>
      <w:r w:rsidR="0010515D">
        <w:rPr>
          <w:rFonts w:ascii="Century Gothic" w:eastAsiaTheme="minorEastAsia" w:hAnsi="Century Gothic"/>
          <w:bCs/>
          <w:color w:val="auto"/>
          <w:sz w:val="20"/>
          <w:szCs w:val="20"/>
        </w:rPr>
        <w:t xml:space="preserve"> </w:t>
      </w:r>
      <w:r w:rsidR="0010515D">
        <w:rPr>
          <w:rFonts w:ascii="Century Gothic" w:eastAsiaTheme="minorEastAsia" w:hAnsi="Century Gothic"/>
          <w:bCs/>
          <w:color w:val="auto"/>
          <w:sz w:val="20"/>
          <w:szCs w:val="20"/>
        </w:rPr>
        <w:br/>
      </w: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>(Dz. U. z 2011</w:t>
      </w:r>
      <w:r w:rsidR="0010515D">
        <w:rPr>
          <w:rFonts w:ascii="Century Gothic" w:eastAsiaTheme="minorEastAsia" w:hAnsi="Century Gothic"/>
          <w:bCs/>
          <w:color w:val="auto"/>
          <w:sz w:val="20"/>
          <w:szCs w:val="20"/>
        </w:rPr>
        <w:t> </w:t>
      </w: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>r. Nr 159, poz. 948</w:t>
      </w:r>
      <w:bookmarkEnd w:id="0"/>
      <w:r w:rsidR="00AF2323">
        <w:rPr>
          <w:rFonts w:ascii="Century Gothic" w:eastAsiaTheme="minorEastAsia" w:hAnsi="Century Gothic"/>
          <w:bCs/>
          <w:color w:val="auto"/>
          <w:sz w:val="20"/>
          <w:szCs w:val="20"/>
        </w:rPr>
        <w:t>)</w:t>
      </w: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 xml:space="preserve"> </w:t>
      </w:r>
      <w:r w:rsidR="00AF2323">
        <w:rPr>
          <w:rFonts w:ascii="Century Gothic" w:eastAsiaTheme="minorEastAsia" w:hAnsi="Century Gothic"/>
          <w:bCs/>
          <w:color w:val="auto"/>
          <w:sz w:val="20"/>
          <w:szCs w:val="20"/>
        </w:rPr>
        <w:t xml:space="preserve">Burmistrz Miasta Mława </w:t>
      </w: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>zarządza</w:t>
      </w:r>
      <w:r w:rsidR="00AF2323">
        <w:rPr>
          <w:rFonts w:ascii="Century Gothic" w:eastAsiaTheme="minorEastAsia" w:hAnsi="Century Gothic"/>
          <w:bCs/>
          <w:color w:val="auto"/>
          <w:sz w:val="20"/>
          <w:szCs w:val="20"/>
        </w:rPr>
        <w:t>,</w:t>
      </w: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 xml:space="preserve"> co następuje:</w:t>
      </w:r>
    </w:p>
    <w:p w14:paraId="2220EE04" w14:textId="77777777" w:rsidR="0010515D" w:rsidRDefault="0010515D" w:rsidP="0010515D">
      <w:pPr>
        <w:pStyle w:val="Akapitzlist"/>
        <w:tabs>
          <w:tab w:val="left" w:pos="2340"/>
        </w:tabs>
        <w:spacing w:line="276" w:lineRule="auto"/>
        <w:ind w:left="0"/>
        <w:jc w:val="both"/>
        <w:rPr>
          <w:rFonts w:ascii="Century Gothic" w:eastAsiaTheme="minorEastAsia" w:hAnsi="Century Gothic"/>
          <w:bCs/>
          <w:color w:val="auto"/>
          <w:sz w:val="20"/>
          <w:szCs w:val="20"/>
        </w:rPr>
      </w:pPr>
    </w:p>
    <w:p w14:paraId="5574BA12" w14:textId="19928B75" w:rsidR="00B709DC" w:rsidRPr="0010515D" w:rsidRDefault="0010515D" w:rsidP="0010515D">
      <w:pPr>
        <w:pStyle w:val="Akapitzlist"/>
        <w:tabs>
          <w:tab w:val="left" w:pos="2340"/>
        </w:tabs>
        <w:spacing w:line="276" w:lineRule="auto"/>
        <w:ind w:left="0"/>
        <w:jc w:val="both"/>
        <w:rPr>
          <w:rFonts w:ascii="Century Gothic" w:eastAsiaTheme="minorEastAsia" w:hAnsi="Century Gothic"/>
          <w:b/>
          <w:color w:val="auto"/>
          <w:sz w:val="20"/>
          <w:szCs w:val="20"/>
        </w:rPr>
      </w:pPr>
      <w:r w:rsidRPr="0010515D">
        <w:rPr>
          <w:rFonts w:ascii="Century Gothic" w:eastAsiaTheme="minorEastAsia" w:hAnsi="Century Gothic"/>
          <w:b/>
          <w:color w:val="auto"/>
          <w:sz w:val="20"/>
          <w:szCs w:val="20"/>
        </w:rPr>
        <w:t>§ 1</w:t>
      </w:r>
      <w:r>
        <w:rPr>
          <w:rFonts w:ascii="Century Gothic" w:eastAsiaTheme="minorEastAsia" w:hAnsi="Century Gothic"/>
          <w:b/>
          <w:color w:val="auto"/>
          <w:sz w:val="20"/>
          <w:szCs w:val="20"/>
        </w:rPr>
        <w:t xml:space="preserve"> </w:t>
      </w:r>
      <w:r w:rsidR="00B709DC"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 xml:space="preserve">Wyznaczam Pana </w:t>
      </w:r>
      <w:r>
        <w:rPr>
          <w:rFonts w:ascii="Century Gothic" w:eastAsiaTheme="minorEastAsia" w:hAnsi="Century Gothic"/>
          <w:bCs/>
          <w:color w:val="auto"/>
          <w:sz w:val="20"/>
          <w:szCs w:val="20"/>
        </w:rPr>
        <w:t>Romana Zygnera</w:t>
      </w:r>
      <w:r w:rsidR="00B709DC"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 xml:space="preserve"> na Administratora Systemu Teleinformatycznego Ochrony Informacji Niejawnych odpowiedzialnego za funkcjonowanie systemu teleinformatycznego oraz za przestrzeganie zasad i wymagań bezpieczeństwa przewidzianych dla systemu teleinformatycznego, zwanego dalej „administratorem systemu”.</w:t>
      </w:r>
    </w:p>
    <w:p w14:paraId="6EB75D29" w14:textId="77777777" w:rsidR="0010515D" w:rsidRDefault="0010515D" w:rsidP="0010515D">
      <w:pPr>
        <w:pStyle w:val="Akapitzlist"/>
        <w:tabs>
          <w:tab w:val="left" w:pos="2340"/>
        </w:tabs>
        <w:spacing w:line="276" w:lineRule="auto"/>
        <w:ind w:left="0"/>
        <w:jc w:val="both"/>
        <w:rPr>
          <w:rFonts w:ascii="Century Gothic" w:eastAsiaTheme="minorEastAsia" w:hAnsi="Century Gothic"/>
          <w:b/>
          <w:color w:val="auto"/>
          <w:sz w:val="20"/>
          <w:szCs w:val="20"/>
        </w:rPr>
      </w:pPr>
    </w:p>
    <w:p w14:paraId="0355D6F7" w14:textId="5C078BBC" w:rsidR="00B709DC" w:rsidRPr="0010515D" w:rsidRDefault="00B709DC" w:rsidP="0010515D">
      <w:pPr>
        <w:pStyle w:val="Akapitzlist"/>
        <w:tabs>
          <w:tab w:val="left" w:pos="2340"/>
        </w:tabs>
        <w:spacing w:line="276" w:lineRule="auto"/>
        <w:ind w:left="0"/>
        <w:jc w:val="both"/>
        <w:rPr>
          <w:rFonts w:ascii="Century Gothic" w:eastAsiaTheme="minorEastAsia" w:hAnsi="Century Gothic"/>
          <w:bCs/>
          <w:color w:val="auto"/>
          <w:sz w:val="20"/>
          <w:szCs w:val="20"/>
        </w:rPr>
      </w:pPr>
      <w:r w:rsidRPr="0010515D">
        <w:rPr>
          <w:rFonts w:ascii="Century Gothic" w:eastAsiaTheme="minorEastAsia" w:hAnsi="Century Gothic"/>
          <w:b/>
          <w:color w:val="auto"/>
          <w:sz w:val="20"/>
          <w:szCs w:val="20"/>
        </w:rPr>
        <w:t>§</w:t>
      </w:r>
      <w:r w:rsidR="0010515D">
        <w:rPr>
          <w:rFonts w:ascii="Century Gothic" w:eastAsiaTheme="minorEastAsia" w:hAnsi="Century Gothic"/>
          <w:b/>
          <w:color w:val="auto"/>
          <w:sz w:val="20"/>
          <w:szCs w:val="20"/>
        </w:rPr>
        <w:t> </w:t>
      </w:r>
      <w:r w:rsidRPr="0010515D">
        <w:rPr>
          <w:rFonts w:ascii="Century Gothic" w:eastAsiaTheme="minorEastAsia" w:hAnsi="Century Gothic"/>
          <w:b/>
          <w:color w:val="auto"/>
          <w:sz w:val="20"/>
          <w:szCs w:val="20"/>
        </w:rPr>
        <w:t>2</w:t>
      </w:r>
      <w:r w:rsidR="0010515D">
        <w:rPr>
          <w:rFonts w:ascii="Century Gothic" w:eastAsiaTheme="minorEastAsia" w:hAnsi="Century Gothic"/>
          <w:b/>
          <w:color w:val="auto"/>
          <w:sz w:val="20"/>
          <w:szCs w:val="20"/>
        </w:rPr>
        <w:t xml:space="preserve"> </w:t>
      </w: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 xml:space="preserve">Wyznaczam Pana </w:t>
      </w:r>
      <w:r w:rsidR="00884E14">
        <w:rPr>
          <w:rFonts w:ascii="Century Gothic" w:eastAsiaTheme="minorEastAsia" w:hAnsi="Century Gothic"/>
          <w:bCs/>
          <w:color w:val="auto"/>
          <w:sz w:val="20"/>
          <w:szCs w:val="20"/>
        </w:rPr>
        <w:t>Janusza Szemplińskiego na</w:t>
      </w: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 xml:space="preserve"> Inspektora Bezpieczeństwa Teleinformatycznego Ochrony Informacji Niejawnych odpowiedzialnego za weryfikację</w:t>
      </w:r>
      <w:r w:rsidR="0010515D">
        <w:rPr>
          <w:rFonts w:ascii="Century Gothic" w:eastAsiaTheme="minorEastAsia" w:hAnsi="Century Gothic"/>
          <w:bCs/>
          <w:color w:val="auto"/>
          <w:sz w:val="20"/>
          <w:szCs w:val="20"/>
        </w:rPr>
        <w:t xml:space="preserve">  </w:t>
      </w:r>
      <w:r w:rsidR="0010515D">
        <w:rPr>
          <w:rFonts w:ascii="Century Gothic" w:eastAsiaTheme="minorEastAsia" w:hAnsi="Century Gothic"/>
          <w:bCs/>
          <w:color w:val="auto"/>
          <w:sz w:val="20"/>
          <w:szCs w:val="20"/>
        </w:rPr>
        <w:br/>
      </w: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>i bieżącą kontrolę zgodności i funkcjonowania systemu teleinformatycznego ze szczególnymi wymaganiami bezpieczeństwa oraz kontrolę przestrzegania procedur bezpiecznej eksploatacji, zwanego dalej „inspektorem bezpieczeństwa”.</w:t>
      </w:r>
    </w:p>
    <w:p w14:paraId="5D2F0454" w14:textId="77777777" w:rsidR="0010515D" w:rsidRDefault="0010515D" w:rsidP="0010515D">
      <w:pPr>
        <w:pStyle w:val="Akapitzlist"/>
        <w:tabs>
          <w:tab w:val="left" w:pos="2340"/>
        </w:tabs>
        <w:spacing w:line="276" w:lineRule="auto"/>
        <w:ind w:left="0"/>
        <w:jc w:val="both"/>
        <w:rPr>
          <w:rFonts w:ascii="Century Gothic" w:eastAsiaTheme="minorEastAsia" w:hAnsi="Century Gothic"/>
          <w:b/>
          <w:color w:val="auto"/>
          <w:sz w:val="20"/>
          <w:szCs w:val="20"/>
        </w:rPr>
      </w:pPr>
    </w:p>
    <w:p w14:paraId="4FF217BC" w14:textId="177FB598" w:rsidR="00B709DC" w:rsidRPr="0010515D" w:rsidRDefault="00B709DC" w:rsidP="0010515D">
      <w:pPr>
        <w:pStyle w:val="Akapitzlist"/>
        <w:tabs>
          <w:tab w:val="left" w:pos="2340"/>
        </w:tabs>
        <w:spacing w:line="276" w:lineRule="auto"/>
        <w:ind w:left="0"/>
        <w:jc w:val="both"/>
        <w:rPr>
          <w:rFonts w:ascii="Century Gothic" w:eastAsiaTheme="minorEastAsia" w:hAnsi="Century Gothic"/>
          <w:b/>
          <w:color w:val="auto"/>
          <w:sz w:val="20"/>
          <w:szCs w:val="20"/>
        </w:rPr>
      </w:pPr>
      <w:r w:rsidRPr="0010515D">
        <w:rPr>
          <w:rFonts w:ascii="Century Gothic" w:eastAsiaTheme="minorEastAsia" w:hAnsi="Century Gothic"/>
          <w:b/>
          <w:color w:val="auto"/>
          <w:sz w:val="20"/>
          <w:szCs w:val="20"/>
        </w:rPr>
        <w:t>§ 3</w:t>
      </w:r>
      <w:r w:rsidR="0010515D">
        <w:rPr>
          <w:rFonts w:ascii="Century Gothic" w:eastAsiaTheme="minorEastAsia" w:hAnsi="Century Gothic"/>
          <w:b/>
          <w:color w:val="auto"/>
          <w:sz w:val="20"/>
          <w:szCs w:val="20"/>
        </w:rPr>
        <w:t xml:space="preserve"> </w:t>
      </w: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>Administrator systemu realizuje zadania w zakresie zapewnienia funkcjonowania oraz przestrzegania zasad bezpieczeństwa systemu teleinformatycznego, w szczególności:</w:t>
      </w:r>
    </w:p>
    <w:p w14:paraId="1585761E" w14:textId="58BC2220" w:rsidR="00B709DC" w:rsidRPr="0010515D" w:rsidRDefault="00B709DC" w:rsidP="0010515D">
      <w:pPr>
        <w:pStyle w:val="Akapitzlist"/>
        <w:numPr>
          <w:ilvl w:val="0"/>
          <w:numId w:val="2"/>
        </w:numPr>
        <w:tabs>
          <w:tab w:val="left" w:pos="2340"/>
        </w:tabs>
        <w:spacing w:line="276" w:lineRule="auto"/>
        <w:jc w:val="both"/>
        <w:rPr>
          <w:rFonts w:ascii="Century Gothic" w:eastAsiaTheme="minorEastAsia" w:hAnsi="Century Gothic"/>
          <w:bCs/>
          <w:color w:val="auto"/>
          <w:sz w:val="20"/>
          <w:szCs w:val="20"/>
        </w:rPr>
      </w:pP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>opracowuje dokumentację bezpieczeństwa teleinformatycznego oraz propozycje jej uaktualniania;</w:t>
      </w:r>
    </w:p>
    <w:p w14:paraId="3C11292D" w14:textId="2C1CD217" w:rsidR="00B709DC" w:rsidRPr="0010515D" w:rsidRDefault="00B709DC" w:rsidP="0010515D">
      <w:pPr>
        <w:pStyle w:val="Akapitzlist"/>
        <w:numPr>
          <w:ilvl w:val="0"/>
          <w:numId w:val="2"/>
        </w:numPr>
        <w:tabs>
          <w:tab w:val="left" w:pos="2340"/>
        </w:tabs>
        <w:spacing w:line="276" w:lineRule="auto"/>
        <w:jc w:val="both"/>
        <w:rPr>
          <w:rFonts w:ascii="Century Gothic" w:eastAsiaTheme="minorEastAsia" w:hAnsi="Century Gothic"/>
          <w:bCs/>
          <w:color w:val="auto"/>
          <w:sz w:val="20"/>
          <w:szCs w:val="20"/>
        </w:rPr>
      </w:pP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>uczestniczy w procesie szacowania ryzyka;</w:t>
      </w:r>
    </w:p>
    <w:p w14:paraId="796579BD" w14:textId="68B4808A" w:rsidR="00B709DC" w:rsidRPr="0010515D" w:rsidRDefault="00B709DC" w:rsidP="0010515D">
      <w:pPr>
        <w:pStyle w:val="Akapitzlist"/>
        <w:numPr>
          <w:ilvl w:val="0"/>
          <w:numId w:val="2"/>
        </w:numPr>
        <w:tabs>
          <w:tab w:val="left" w:pos="2340"/>
        </w:tabs>
        <w:spacing w:line="276" w:lineRule="auto"/>
        <w:jc w:val="both"/>
        <w:rPr>
          <w:rFonts w:ascii="Century Gothic" w:eastAsiaTheme="minorEastAsia" w:hAnsi="Century Gothic"/>
          <w:bCs/>
          <w:color w:val="auto"/>
          <w:sz w:val="20"/>
          <w:szCs w:val="20"/>
        </w:rPr>
      </w:pP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>wdraża procedury bezpiecznej eksploatacji systemu teleinformatycznego;</w:t>
      </w:r>
    </w:p>
    <w:p w14:paraId="44FC320F" w14:textId="6FB41335" w:rsidR="00B709DC" w:rsidRPr="0010515D" w:rsidRDefault="00B709DC" w:rsidP="0010515D">
      <w:pPr>
        <w:pStyle w:val="Akapitzlist"/>
        <w:numPr>
          <w:ilvl w:val="0"/>
          <w:numId w:val="2"/>
        </w:numPr>
        <w:tabs>
          <w:tab w:val="left" w:pos="2340"/>
        </w:tabs>
        <w:spacing w:line="276" w:lineRule="auto"/>
        <w:jc w:val="both"/>
        <w:rPr>
          <w:rFonts w:ascii="Century Gothic" w:eastAsiaTheme="minorEastAsia" w:hAnsi="Century Gothic"/>
          <w:bCs/>
          <w:color w:val="auto"/>
          <w:sz w:val="20"/>
          <w:szCs w:val="20"/>
        </w:rPr>
      </w:pP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>współuczestniczy w szkoleniu użytkowników systemu teleinformatycznego z zakresu procedur bezpiecznej eksploatacji;</w:t>
      </w:r>
    </w:p>
    <w:p w14:paraId="1A194098" w14:textId="37439F31" w:rsidR="00B709DC" w:rsidRPr="0010515D" w:rsidRDefault="00B709DC" w:rsidP="0010515D">
      <w:pPr>
        <w:pStyle w:val="Akapitzlist"/>
        <w:numPr>
          <w:ilvl w:val="0"/>
          <w:numId w:val="2"/>
        </w:numPr>
        <w:tabs>
          <w:tab w:val="left" w:pos="2340"/>
        </w:tabs>
        <w:spacing w:line="276" w:lineRule="auto"/>
        <w:jc w:val="both"/>
        <w:rPr>
          <w:rFonts w:ascii="Century Gothic" w:eastAsiaTheme="minorEastAsia" w:hAnsi="Century Gothic"/>
          <w:bCs/>
          <w:color w:val="auto"/>
          <w:sz w:val="20"/>
          <w:szCs w:val="20"/>
        </w:rPr>
      </w:pP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 xml:space="preserve">utrzymuje zgodność konfiguracji i parametrów systemu teleinformatycznego </w:t>
      </w:r>
      <w:r w:rsidR="0010515D">
        <w:rPr>
          <w:rFonts w:ascii="Century Gothic" w:eastAsiaTheme="minorEastAsia" w:hAnsi="Century Gothic"/>
          <w:bCs/>
          <w:color w:val="auto"/>
          <w:sz w:val="20"/>
          <w:szCs w:val="20"/>
        </w:rPr>
        <w:t xml:space="preserve"> </w:t>
      </w:r>
      <w:r w:rsidR="0010515D">
        <w:rPr>
          <w:rFonts w:ascii="Century Gothic" w:eastAsiaTheme="minorEastAsia" w:hAnsi="Century Gothic"/>
          <w:bCs/>
          <w:color w:val="auto"/>
          <w:sz w:val="20"/>
          <w:szCs w:val="20"/>
        </w:rPr>
        <w:br/>
      </w: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>z dokumentacją bezpieczeństwa systemu;</w:t>
      </w:r>
    </w:p>
    <w:p w14:paraId="55CFC436" w14:textId="611AAFFA" w:rsidR="00B709DC" w:rsidRPr="0010515D" w:rsidRDefault="00B709DC" w:rsidP="0010515D">
      <w:pPr>
        <w:pStyle w:val="Akapitzlist"/>
        <w:numPr>
          <w:ilvl w:val="0"/>
          <w:numId w:val="2"/>
        </w:numPr>
        <w:tabs>
          <w:tab w:val="left" w:pos="2340"/>
        </w:tabs>
        <w:spacing w:line="276" w:lineRule="auto"/>
        <w:jc w:val="both"/>
        <w:rPr>
          <w:rFonts w:ascii="Century Gothic" w:eastAsiaTheme="minorEastAsia" w:hAnsi="Century Gothic"/>
          <w:bCs/>
          <w:color w:val="auto"/>
          <w:sz w:val="20"/>
          <w:szCs w:val="20"/>
        </w:rPr>
      </w:pP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>systematycznie kontroluje funkcjonowanie mechanizmów zabezpieczeń oraz poprawność działania systemu teleinformatycznego;</w:t>
      </w:r>
    </w:p>
    <w:p w14:paraId="1EA71FEA" w14:textId="57DDE9E1" w:rsidR="00B709DC" w:rsidRPr="0010515D" w:rsidRDefault="00B709DC" w:rsidP="0010515D">
      <w:pPr>
        <w:pStyle w:val="Akapitzlist"/>
        <w:numPr>
          <w:ilvl w:val="0"/>
          <w:numId w:val="2"/>
        </w:numPr>
        <w:tabs>
          <w:tab w:val="left" w:pos="2340"/>
        </w:tabs>
        <w:spacing w:line="276" w:lineRule="auto"/>
        <w:jc w:val="both"/>
        <w:rPr>
          <w:rFonts w:ascii="Century Gothic" w:eastAsiaTheme="minorEastAsia" w:hAnsi="Century Gothic"/>
          <w:bCs/>
          <w:color w:val="auto"/>
          <w:sz w:val="20"/>
          <w:szCs w:val="20"/>
        </w:rPr>
      </w:pP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>informuje pełnomocnika ochrony o stwierdzonych naruszeniach bezpieczeństwa systemu teleinformatycznego;</w:t>
      </w:r>
    </w:p>
    <w:p w14:paraId="0C8014C0" w14:textId="77623154" w:rsidR="00B709DC" w:rsidRPr="0010515D" w:rsidRDefault="00B709DC" w:rsidP="0010515D">
      <w:pPr>
        <w:pStyle w:val="Akapitzlist"/>
        <w:numPr>
          <w:ilvl w:val="0"/>
          <w:numId w:val="2"/>
        </w:numPr>
        <w:tabs>
          <w:tab w:val="left" w:pos="2340"/>
        </w:tabs>
        <w:spacing w:line="276" w:lineRule="auto"/>
        <w:jc w:val="both"/>
        <w:rPr>
          <w:rFonts w:ascii="Century Gothic" w:eastAsiaTheme="minorEastAsia" w:hAnsi="Century Gothic"/>
          <w:bCs/>
          <w:color w:val="auto"/>
          <w:sz w:val="20"/>
          <w:szCs w:val="20"/>
        </w:rPr>
      </w:pP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>zgłasza pełnomocnikowi ochrony potrzeby w zakresie serwisowania systemu,</w:t>
      </w:r>
    </w:p>
    <w:p w14:paraId="28A8BAD4" w14:textId="0D0B667E" w:rsidR="00B709DC" w:rsidRPr="0010515D" w:rsidRDefault="00B709DC" w:rsidP="0010515D">
      <w:pPr>
        <w:pStyle w:val="Akapitzlist"/>
        <w:numPr>
          <w:ilvl w:val="0"/>
          <w:numId w:val="2"/>
        </w:numPr>
        <w:tabs>
          <w:tab w:val="left" w:pos="2340"/>
        </w:tabs>
        <w:spacing w:line="276" w:lineRule="auto"/>
        <w:jc w:val="both"/>
        <w:rPr>
          <w:rFonts w:ascii="Century Gothic" w:eastAsiaTheme="minorEastAsia" w:hAnsi="Century Gothic"/>
          <w:bCs/>
          <w:color w:val="auto"/>
          <w:sz w:val="20"/>
          <w:szCs w:val="20"/>
        </w:rPr>
      </w:pP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>analizuje i archiwizuje rejestr zdarzeń w systemie;</w:t>
      </w:r>
    </w:p>
    <w:p w14:paraId="6C142FE1" w14:textId="0967B6BC" w:rsidR="00B709DC" w:rsidRPr="0010515D" w:rsidRDefault="00B709DC" w:rsidP="0010515D">
      <w:pPr>
        <w:pStyle w:val="Akapitzlist"/>
        <w:numPr>
          <w:ilvl w:val="0"/>
          <w:numId w:val="2"/>
        </w:numPr>
        <w:tabs>
          <w:tab w:val="left" w:pos="2340"/>
        </w:tabs>
        <w:spacing w:line="276" w:lineRule="auto"/>
        <w:jc w:val="both"/>
        <w:rPr>
          <w:rFonts w:ascii="Century Gothic" w:eastAsiaTheme="minorEastAsia" w:hAnsi="Century Gothic"/>
          <w:bCs/>
          <w:color w:val="auto"/>
          <w:sz w:val="20"/>
          <w:szCs w:val="20"/>
        </w:rPr>
      </w:pP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>prowadzi na bieżąco wykaz osób mających dostęp do systemu teleinformatycznego oraz przydziela użytkownikom konta, zgodnie z uprawnieniami nadanymi przez kierownika jednostki organizacyjnej;</w:t>
      </w:r>
    </w:p>
    <w:p w14:paraId="2CA9A5C1" w14:textId="617FEBC4" w:rsidR="00621D1A" w:rsidRPr="0010515D" w:rsidRDefault="00B709DC" w:rsidP="0010515D">
      <w:pPr>
        <w:pStyle w:val="Akapitzlist"/>
        <w:numPr>
          <w:ilvl w:val="0"/>
          <w:numId w:val="2"/>
        </w:numPr>
        <w:tabs>
          <w:tab w:val="left" w:pos="2340"/>
        </w:tabs>
        <w:spacing w:line="276" w:lineRule="auto"/>
        <w:jc w:val="both"/>
        <w:rPr>
          <w:rFonts w:ascii="Century Gothic" w:eastAsiaTheme="minorEastAsia" w:hAnsi="Century Gothic"/>
          <w:bCs/>
          <w:color w:val="auto"/>
          <w:sz w:val="20"/>
          <w:szCs w:val="20"/>
        </w:rPr>
      </w:pP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>zapewnia dostęp do systemu teleinformatycznego wyłącznie użytkowników posiadających wymagane uprawnienia oraz odpowiednie i ważne poświadczenia bezpieczeństwa lub upoważnienie kierownika jednostki;</w:t>
      </w:r>
    </w:p>
    <w:p w14:paraId="2573C896" w14:textId="0E551EE2" w:rsidR="00B709DC" w:rsidRPr="0010515D" w:rsidRDefault="00B709DC" w:rsidP="0010515D">
      <w:pPr>
        <w:pStyle w:val="Akapitzlist"/>
        <w:tabs>
          <w:tab w:val="left" w:pos="2340"/>
        </w:tabs>
        <w:spacing w:line="276" w:lineRule="auto"/>
        <w:ind w:left="0"/>
        <w:jc w:val="both"/>
        <w:rPr>
          <w:rFonts w:ascii="Century Gothic" w:eastAsiaTheme="minorEastAsia" w:hAnsi="Century Gothic"/>
          <w:b/>
          <w:color w:val="auto"/>
          <w:sz w:val="20"/>
          <w:szCs w:val="20"/>
        </w:rPr>
      </w:pPr>
      <w:r w:rsidRPr="0010515D">
        <w:rPr>
          <w:rFonts w:ascii="Century Gothic" w:eastAsiaTheme="minorEastAsia" w:hAnsi="Century Gothic"/>
          <w:b/>
          <w:color w:val="auto"/>
          <w:sz w:val="20"/>
          <w:szCs w:val="20"/>
        </w:rPr>
        <w:lastRenderedPageBreak/>
        <w:t>§ 4</w:t>
      </w:r>
      <w:r w:rsidR="0010515D">
        <w:rPr>
          <w:rFonts w:ascii="Century Gothic" w:eastAsiaTheme="minorEastAsia" w:hAnsi="Century Gothic"/>
          <w:b/>
          <w:color w:val="auto"/>
          <w:sz w:val="20"/>
          <w:szCs w:val="20"/>
        </w:rPr>
        <w:t xml:space="preserve">.1. </w:t>
      </w: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>Inspektor bezpieczeństwa w szczególności kontroluje:</w:t>
      </w:r>
    </w:p>
    <w:p w14:paraId="65E2EE2B" w14:textId="237A5E50" w:rsidR="00B709DC" w:rsidRPr="0010515D" w:rsidRDefault="00B709DC" w:rsidP="0010515D">
      <w:pPr>
        <w:pStyle w:val="Akapitzlist"/>
        <w:numPr>
          <w:ilvl w:val="0"/>
          <w:numId w:val="5"/>
        </w:numPr>
        <w:tabs>
          <w:tab w:val="left" w:pos="2340"/>
        </w:tabs>
        <w:spacing w:line="276" w:lineRule="auto"/>
        <w:ind w:left="1134"/>
        <w:jc w:val="both"/>
        <w:rPr>
          <w:rFonts w:ascii="Century Gothic" w:eastAsiaTheme="minorEastAsia" w:hAnsi="Century Gothic"/>
          <w:bCs/>
          <w:color w:val="auto"/>
          <w:sz w:val="20"/>
          <w:szCs w:val="20"/>
        </w:rPr>
      </w:pP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>przestrzeganie zasad ochrony informacji niejawnych w systemie lub sieci teleinformatycznej,</w:t>
      </w:r>
    </w:p>
    <w:p w14:paraId="4DD7D2FE" w14:textId="6EB38968" w:rsidR="00B709DC" w:rsidRPr="0010515D" w:rsidRDefault="00B709DC" w:rsidP="0010515D">
      <w:pPr>
        <w:pStyle w:val="Akapitzlist"/>
        <w:numPr>
          <w:ilvl w:val="0"/>
          <w:numId w:val="5"/>
        </w:numPr>
        <w:tabs>
          <w:tab w:val="left" w:pos="2340"/>
        </w:tabs>
        <w:spacing w:line="276" w:lineRule="auto"/>
        <w:ind w:left="1134"/>
        <w:jc w:val="both"/>
        <w:rPr>
          <w:rFonts w:ascii="Century Gothic" w:eastAsiaTheme="minorEastAsia" w:hAnsi="Century Gothic"/>
          <w:bCs/>
          <w:color w:val="auto"/>
          <w:sz w:val="20"/>
          <w:szCs w:val="20"/>
        </w:rPr>
      </w:pP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>stan zabezpieczeń fizycznych, elektromagnetycznych i elektronicznych pomieszczeń lub obszarów, w których usytuowane są systemy lub sieci teleinformatyczne,</w:t>
      </w:r>
    </w:p>
    <w:p w14:paraId="6BC63F46" w14:textId="78AB603A" w:rsidR="00B709DC" w:rsidRPr="0010515D" w:rsidRDefault="00B709DC" w:rsidP="0010515D">
      <w:pPr>
        <w:pStyle w:val="Akapitzlist"/>
        <w:numPr>
          <w:ilvl w:val="0"/>
          <w:numId w:val="5"/>
        </w:numPr>
        <w:tabs>
          <w:tab w:val="left" w:pos="2340"/>
        </w:tabs>
        <w:spacing w:line="276" w:lineRule="auto"/>
        <w:ind w:left="1134"/>
        <w:jc w:val="both"/>
        <w:rPr>
          <w:rFonts w:ascii="Century Gothic" w:eastAsiaTheme="minorEastAsia" w:hAnsi="Century Gothic"/>
          <w:bCs/>
          <w:color w:val="auto"/>
          <w:sz w:val="20"/>
          <w:szCs w:val="20"/>
        </w:rPr>
      </w:pP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>aktualność wykazów osób mających dostęp do systemu lub sieci teleinformatycznej, przydzielanie kont użytkownikom, zakres nadanych im uprawnień oraz prawidłowość zabezpieczeń zastosowanych w systemie lub sieci;</w:t>
      </w:r>
    </w:p>
    <w:p w14:paraId="2F765AF0" w14:textId="61977E3D" w:rsidR="00B709DC" w:rsidRPr="0010515D" w:rsidRDefault="00B709DC" w:rsidP="0010515D">
      <w:pPr>
        <w:pStyle w:val="Akapitzlist"/>
        <w:numPr>
          <w:ilvl w:val="0"/>
          <w:numId w:val="5"/>
        </w:numPr>
        <w:tabs>
          <w:tab w:val="left" w:pos="2340"/>
        </w:tabs>
        <w:spacing w:line="276" w:lineRule="auto"/>
        <w:ind w:left="1134"/>
        <w:jc w:val="both"/>
        <w:rPr>
          <w:rFonts w:ascii="Century Gothic" w:eastAsiaTheme="minorEastAsia" w:hAnsi="Century Gothic"/>
          <w:bCs/>
          <w:color w:val="auto"/>
          <w:sz w:val="20"/>
          <w:szCs w:val="20"/>
        </w:rPr>
      </w:pP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>znajomość i przestrzeganie przez użytkowników procedur bezpiecznej eksploatacji systemu lub sieci teleinformatycznej,</w:t>
      </w:r>
    </w:p>
    <w:p w14:paraId="6A8B826D" w14:textId="0BD2DD07" w:rsidR="00B709DC" w:rsidRPr="0010515D" w:rsidRDefault="00B709DC" w:rsidP="0010515D">
      <w:pPr>
        <w:pStyle w:val="Akapitzlist"/>
        <w:numPr>
          <w:ilvl w:val="0"/>
          <w:numId w:val="5"/>
        </w:numPr>
        <w:tabs>
          <w:tab w:val="left" w:pos="2340"/>
        </w:tabs>
        <w:spacing w:line="276" w:lineRule="auto"/>
        <w:ind w:left="1134"/>
        <w:jc w:val="both"/>
        <w:rPr>
          <w:rFonts w:ascii="Century Gothic" w:eastAsiaTheme="minorEastAsia" w:hAnsi="Century Gothic"/>
          <w:bCs/>
          <w:color w:val="auto"/>
          <w:sz w:val="20"/>
          <w:szCs w:val="20"/>
        </w:rPr>
      </w:pP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>przestrzeganie zasad i wymagań w zakresie oznaczania, ewidencjonowania, przechowywania i przekazywania wytworzonych dokumentów niejawnych oraz ich terminowe rozliczanie,</w:t>
      </w:r>
    </w:p>
    <w:p w14:paraId="05177641" w14:textId="33761A7A" w:rsidR="00B709DC" w:rsidRPr="0010515D" w:rsidRDefault="00B709DC" w:rsidP="0010515D">
      <w:pPr>
        <w:pStyle w:val="Akapitzlist"/>
        <w:numPr>
          <w:ilvl w:val="0"/>
          <w:numId w:val="5"/>
        </w:numPr>
        <w:tabs>
          <w:tab w:val="left" w:pos="2340"/>
        </w:tabs>
        <w:spacing w:line="276" w:lineRule="auto"/>
        <w:ind w:left="1134"/>
        <w:jc w:val="both"/>
        <w:rPr>
          <w:rFonts w:ascii="Century Gothic" w:eastAsiaTheme="minorEastAsia" w:hAnsi="Century Gothic"/>
          <w:bCs/>
          <w:color w:val="auto"/>
          <w:sz w:val="20"/>
          <w:szCs w:val="20"/>
        </w:rPr>
      </w:pP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>zgodność konfiguracji systemu lub sieci teleinformatycznej z dokumentacją bezpieczeństwa teleinformatycznego.</w:t>
      </w:r>
    </w:p>
    <w:p w14:paraId="7020493E" w14:textId="670E9C47" w:rsidR="00B709DC" w:rsidRPr="0010515D" w:rsidRDefault="0010515D" w:rsidP="0010515D">
      <w:pPr>
        <w:tabs>
          <w:tab w:val="left" w:pos="2340"/>
        </w:tabs>
        <w:spacing w:after="0"/>
        <w:ind w:left="360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2. </w:t>
      </w:r>
      <w:r w:rsidR="00B709DC" w:rsidRPr="0010515D">
        <w:rPr>
          <w:rFonts w:ascii="Century Gothic" w:hAnsi="Century Gothic"/>
          <w:bCs/>
          <w:sz w:val="20"/>
          <w:szCs w:val="20"/>
        </w:rPr>
        <w:t>Do obowiązków inspektora bezpieczeństwa w szczególności należy:</w:t>
      </w:r>
    </w:p>
    <w:p w14:paraId="21A6C11E" w14:textId="78F832BD" w:rsidR="00B709DC" w:rsidRPr="0010515D" w:rsidRDefault="00B709DC" w:rsidP="0010515D">
      <w:pPr>
        <w:pStyle w:val="Akapitzlist"/>
        <w:numPr>
          <w:ilvl w:val="0"/>
          <w:numId w:val="7"/>
        </w:numPr>
        <w:tabs>
          <w:tab w:val="left" w:pos="2340"/>
        </w:tabs>
        <w:spacing w:line="276" w:lineRule="auto"/>
        <w:ind w:left="1134"/>
        <w:jc w:val="both"/>
        <w:rPr>
          <w:rFonts w:ascii="Century Gothic" w:eastAsiaTheme="minorEastAsia" w:hAnsi="Century Gothic"/>
          <w:bCs/>
          <w:color w:val="auto"/>
          <w:sz w:val="20"/>
          <w:szCs w:val="20"/>
        </w:rPr>
      </w:pP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>kontrola realizowania procedur bezpiecznej eksploatacji systemu (PBE),</w:t>
      </w:r>
    </w:p>
    <w:p w14:paraId="154B5D77" w14:textId="0199272D" w:rsidR="00B709DC" w:rsidRPr="0010515D" w:rsidRDefault="00B709DC" w:rsidP="0010515D">
      <w:pPr>
        <w:pStyle w:val="Akapitzlist"/>
        <w:numPr>
          <w:ilvl w:val="0"/>
          <w:numId w:val="7"/>
        </w:numPr>
        <w:tabs>
          <w:tab w:val="left" w:pos="2340"/>
        </w:tabs>
        <w:spacing w:line="276" w:lineRule="auto"/>
        <w:ind w:left="1134"/>
        <w:jc w:val="both"/>
        <w:rPr>
          <w:rFonts w:ascii="Century Gothic" w:eastAsiaTheme="minorEastAsia" w:hAnsi="Century Gothic"/>
          <w:bCs/>
          <w:color w:val="auto"/>
          <w:sz w:val="20"/>
          <w:szCs w:val="20"/>
        </w:rPr>
      </w:pP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>organizowanie i prowadzenie szkoleń z zakresu bezpieczeństwa teleinformatycznego,</w:t>
      </w:r>
    </w:p>
    <w:p w14:paraId="074D4F3D" w14:textId="6B809AF3" w:rsidR="00B709DC" w:rsidRPr="0010515D" w:rsidRDefault="00B709DC" w:rsidP="0010515D">
      <w:pPr>
        <w:pStyle w:val="Akapitzlist"/>
        <w:numPr>
          <w:ilvl w:val="0"/>
          <w:numId w:val="7"/>
        </w:numPr>
        <w:tabs>
          <w:tab w:val="left" w:pos="2340"/>
        </w:tabs>
        <w:spacing w:line="276" w:lineRule="auto"/>
        <w:ind w:left="1134"/>
        <w:jc w:val="both"/>
        <w:rPr>
          <w:rFonts w:ascii="Century Gothic" w:eastAsiaTheme="minorEastAsia" w:hAnsi="Century Gothic"/>
          <w:bCs/>
          <w:color w:val="auto"/>
          <w:sz w:val="20"/>
          <w:szCs w:val="20"/>
        </w:rPr>
      </w:pP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>przeprowadzanie okresowej analizy ryzyka,</w:t>
      </w:r>
    </w:p>
    <w:p w14:paraId="3BE582B2" w14:textId="3FC53F8F" w:rsidR="00B709DC" w:rsidRPr="0010515D" w:rsidRDefault="00B709DC" w:rsidP="0010515D">
      <w:pPr>
        <w:pStyle w:val="Akapitzlist"/>
        <w:numPr>
          <w:ilvl w:val="0"/>
          <w:numId w:val="7"/>
        </w:numPr>
        <w:tabs>
          <w:tab w:val="left" w:pos="2340"/>
        </w:tabs>
        <w:spacing w:line="276" w:lineRule="auto"/>
        <w:ind w:left="1134"/>
        <w:jc w:val="both"/>
        <w:rPr>
          <w:rFonts w:ascii="Century Gothic" w:eastAsiaTheme="minorEastAsia" w:hAnsi="Century Gothic"/>
          <w:bCs/>
          <w:color w:val="auto"/>
          <w:sz w:val="20"/>
          <w:szCs w:val="20"/>
        </w:rPr>
      </w:pP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>tworzenie planów awaryjnych,</w:t>
      </w:r>
    </w:p>
    <w:p w14:paraId="6ED3AE98" w14:textId="0D2429E4" w:rsidR="00B709DC" w:rsidRPr="0010515D" w:rsidRDefault="00B709DC" w:rsidP="0010515D">
      <w:pPr>
        <w:pStyle w:val="Akapitzlist"/>
        <w:numPr>
          <w:ilvl w:val="0"/>
          <w:numId w:val="7"/>
        </w:numPr>
        <w:spacing w:line="276" w:lineRule="auto"/>
        <w:ind w:left="1134"/>
        <w:jc w:val="both"/>
        <w:rPr>
          <w:rFonts w:ascii="Century Gothic" w:eastAsiaTheme="minorEastAsia" w:hAnsi="Century Gothic"/>
          <w:bCs/>
          <w:color w:val="auto"/>
          <w:sz w:val="20"/>
          <w:szCs w:val="20"/>
        </w:rPr>
      </w:pP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>organizowanie treningów symulacyjnych z różnych zagrożeń.</w:t>
      </w:r>
    </w:p>
    <w:p w14:paraId="49DDE572" w14:textId="3F67DA9B" w:rsidR="00B709DC" w:rsidRPr="0010515D" w:rsidRDefault="00B709DC" w:rsidP="0010515D">
      <w:pPr>
        <w:pStyle w:val="Akapitzlist"/>
        <w:numPr>
          <w:ilvl w:val="0"/>
          <w:numId w:val="7"/>
        </w:numPr>
        <w:tabs>
          <w:tab w:val="left" w:pos="2340"/>
        </w:tabs>
        <w:spacing w:line="276" w:lineRule="auto"/>
        <w:ind w:left="1134"/>
        <w:jc w:val="both"/>
        <w:rPr>
          <w:rFonts w:ascii="Century Gothic" w:eastAsiaTheme="minorEastAsia" w:hAnsi="Century Gothic"/>
          <w:bCs/>
          <w:color w:val="auto"/>
          <w:sz w:val="20"/>
          <w:szCs w:val="20"/>
        </w:rPr>
      </w:pP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>uczestnictwo w pracach zespołu ds. opracowania SWB i PBE,</w:t>
      </w:r>
    </w:p>
    <w:p w14:paraId="60B8135D" w14:textId="0E3A50CA" w:rsidR="00B709DC" w:rsidRPr="0010515D" w:rsidRDefault="00B709DC" w:rsidP="0010515D">
      <w:pPr>
        <w:pStyle w:val="Akapitzlist"/>
        <w:numPr>
          <w:ilvl w:val="0"/>
          <w:numId w:val="7"/>
        </w:numPr>
        <w:tabs>
          <w:tab w:val="left" w:pos="2340"/>
        </w:tabs>
        <w:spacing w:line="276" w:lineRule="auto"/>
        <w:ind w:left="1134"/>
        <w:jc w:val="both"/>
        <w:rPr>
          <w:rFonts w:ascii="Century Gothic" w:eastAsiaTheme="minorEastAsia" w:hAnsi="Century Gothic"/>
          <w:bCs/>
          <w:color w:val="auto"/>
          <w:sz w:val="20"/>
          <w:szCs w:val="20"/>
        </w:rPr>
      </w:pP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>opracowanie instrukcji (regulaminu) użytkowania programów komputerowych dla pracowników,</w:t>
      </w:r>
    </w:p>
    <w:p w14:paraId="10CBC588" w14:textId="6E3A1F1C" w:rsidR="00B709DC" w:rsidRPr="0010515D" w:rsidRDefault="00B709DC" w:rsidP="0010515D">
      <w:pPr>
        <w:pStyle w:val="Akapitzlist"/>
        <w:numPr>
          <w:ilvl w:val="0"/>
          <w:numId w:val="7"/>
        </w:numPr>
        <w:tabs>
          <w:tab w:val="left" w:pos="2340"/>
        </w:tabs>
        <w:spacing w:line="276" w:lineRule="auto"/>
        <w:ind w:left="1134"/>
        <w:jc w:val="both"/>
        <w:rPr>
          <w:rFonts w:ascii="Century Gothic" w:eastAsiaTheme="minorEastAsia" w:hAnsi="Century Gothic"/>
          <w:bCs/>
          <w:color w:val="auto"/>
          <w:sz w:val="20"/>
          <w:szCs w:val="20"/>
        </w:rPr>
      </w:pP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>informowanie Pełnomocnika ochrony o zdarzeniach związanych lub mogących mieć związek z bezpieczeństwem teleinformatycznym.</w:t>
      </w:r>
    </w:p>
    <w:p w14:paraId="5E575507" w14:textId="77777777" w:rsidR="0010515D" w:rsidRDefault="0010515D" w:rsidP="0010515D">
      <w:pPr>
        <w:pStyle w:val="Akapitzlist"/>
        <w:tabs>
          <w:tab w:val="left" w:pos="2340"/>
        </w:tabs>
        <w:spacing w:line="276" w:lineRule="auto"/>
        <w:ind w:left="0"/>
        <w:jc w:val="both"/>
        <w:rPr>
          <w:rFonts w:ascii="Century Gothic" w:eastAsiaTheme="minorEastAsia" w:hAnsi="Century Gothic"/>
          <w:b/>
          <w:color w:val="auto"/>
          <w:sz w:val="20"/>
          <w:szCs w:val="20"/>
        </w:rPr>
      </w:pPr>
    </w:p>
    <w:p w14:paraId="67FA9958" w14:textId="798D0A84" w:rsidR="00B709DC" w:rsidRPr="0010515D" w:rsidRDefault="00B709DC" w:rsidP="0010515D">
      <w:pPr>
        <w:pStyle w:val="Akapitzlist"/>
        <w:tabs>
          <w:tab w:val="left" w:pos="2340"/>
        </w:tabs>
        <w:spacing w:line="276" w:lineRule="auto"/>
        <w:ind w:left="0"/>
        <w:jc w:val="both"/>
        <w:rPr>
          <w:rFonts w:ascii="Century Gothic" w:eastAsiaTheme="minorEastAsia" w:hAnsi="Century Gothic"/>
          <w:b/>
          <w:color w:val="auto"/>
          <w:sz w:val="20"/>
          <w:szCs w:val="20"/>
        </w:rPr>
      </w:pPr>
      <w:r w:rsidRPr="0010515D">
        <w:rPr>
          <w:rFonts w:ascii="Century Gothic" w:eastAsiaTheme="minorEastAsia" w:hAnsi="Century Gothic"/>
          <w:b/>
          <w:color w:val="auto"/>
          <w:sz w:val="20"/>
          <w:szCs w:val="20"/>
        </w:rPr>
        <w:t>§ 5</w:t>
      </w:r>
      <w:r w:rsidR="0010515D">
        <w:rPr>
          <w:rFonts w:ascii="Century Gothic" w:eastAsiaTheme="minorEastAsia" w:hAnsi="Century Gothic"/>
          <w:b/>
          <w:color w:val="auto"/>
          <w:sz w:val="20"/>
          <w:szCs w:val="20"/>
        </w:rPr>
        <w:t xml:space="preserve"> </w:t>
      </w: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>Nadzór nad wykonaniem zarządzenia powierzam Pełnomocnikowi ds. Ochrony Informacji Niejawnych.</w:t>
      </w:r>
    </w:p>
    <w:p w14:paraId="59827596" w14:textId="77777777" w:rsidR="0010515D" w:rsidRDefault="0010515D" w:rsidP="0010515D">
      <w:pPr>
        <w:pStyle w:val="Akapitzlist"/>
        <w:tabs>
          <w:tab w:val="left" w:pos="2340"/>
        </w:tabs>
        <w:spacing w:line="276" w:lineRule="auto"/>
        <w:ind w:left="0"/>
        <w:jc w:val="both"/>
        <w:rPr>
          <w:rFonts w:ascii="Century Gothic" w:eastAsiaTheme="minorEastAsia" w:hAnsi="Century Gothic"/>
          <w:b/>
          <w:color w:val="auto"/>
          <w:sz w:val="20"/>
          <w:szCs w:val="20"/>
        </w:rPr>
      </w:pPr>
    </w:p>
    <w:p w14:paraId="7AD63893" w14:textId="186C8D19" w:rsidR="00020FC7" w:rsidRPr="0010515D" w:rsidRDefault="00B709DC" w:rsidP="0010515D">
      <w:pPr>
        <w:pStyle w:val="Akapitzlist"/>
        <w:tabs>
          <w:tab w:val="left" w:pos="2340"/>
        </w:tabs>
        <w:spacing w:line="276" w:lineRule="auto"/>
        <w:ind w:left="0"/>
        <w:jc w:val="both"/>
        <w:rPr>
          <w:rFonts w:ascii="Century Gothic" w:eastAsiaTheme="minorEastAsia" w:hAnsi="Century Gothic"/>
          <w:b/>
          <w:color w:val="auto"/>
          <w:sz w:val="20"/>
          <w:szCs w:val="20"/>
        </w:rPr>
      </w:pPr>
      <w:r w:rsidRPr="0010515D">
        <w:rPr>
          <w:rFonts w:ascii="Century Gothic" w:eastAsiaTheme="minorEastAsia" w:hAnsi="Century Gothic"/>
          <w:b/>
          <w:color w:val="auto"/>
          <w:sz w:val="20"/>
          <w:szCs w:val="20"/>
        </w:rPr>
        <w:t>§ 6</w:t>
      </w:r>
      <w:r w:rsidR="0010515D">
        <w:rPr>
          <w:rFonts w:ascii="Century Gothic" w:eastAsiaTheme="minorEastAsia" w:hAnsi="Century Gothic"/>
          <w:b/>
          <w:color w:val="auto"/>
          <w:sz w:val="20"/>
          <w:szCs w:val="20"/>
        </w:rPr>
        <w:t xml:space="preserve"> </w:t>
      </w:r>
      <w:r w:rsidRPr="0010515D">
        <w:rPr>
          <w:rFonts w:ascii="Century Gothic" w:eastAsiaTheme="minorEastAsia" w:hAnsi="Century Gothic"/>
          <w:bCs/>
          <w:color w:val="auto"/>
          <w:sz w:val="20"/>
          <w:szCs w:val="20"/>
        </w:rPr>
        <w:t>Zarządzenie wchodzi w życie z dniem podpisania.</w:t>
      </w:r>
    </w:p>
    <w:p w14:paraId="45149C49" w14:textId="77777777" w:rsidR="00B709DC" w:rsidRDefault="00B709DC" w:rsidP="0010515D">
      <w:pPr>
        <w:ind w:left="5664" w:firstLine="6"/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0FB3810A" w14:textId="77777777" w:rsidR="0010515D" w:rsidRPr="0010515D" w:rsidRDefault="0010515D" w:rsidP="0010515D">
      <w:pPr>
        <w:ind w:left="5664" w:firstLine="6"/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07456AB3" w14:textId="666765A1" w:rsidR="000311FD" w:rsidRPr="0010515D" w:rsidRDefault="0010515D" w:rsidP="0010515D">
      <w:pPr>
        <w:spacing w:line="240" w:lineRule="auto"/>
        <w:ind w:left="5664" w:firstLine="708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Burmistrz Miasta Mława</w:t>
      </w:r>
    </w:p>
    <w:p w14:paraId="5F3F2443" w14:textId="4A7AD41A" w:rsidR="00131ECC" w:rsidRPr="0010515D" w:rsidRDefault="0010515D" w:rsidP="0010515D">
      <w:pPr>
        <w:ind w:left="5664" w:firstLine="708"/>
        <w:jc w:val="center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Piotr Jankowski</w:t>
      </w:r>
    </w:p>
    <w:sectPr w:rsidR="00131ECC" w:rsidRPr="0010515D" w:rsidSect="00D63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2A7C"/>
    <w:multiLevelType w:val="multilevel"/>
    <w:tmpl w:val="34D63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3901A6"/>
    <w:multiLevelType w:val="hybridMultilevel"/>
    <w:tmpl w:val="CF9E7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07341"/>
    <w:multiLevelType w:val="hybridMultilevel"/>
    <w:tmpl w:val="CD385F78"/>
    <w:lvl w:ilvl="0" w:tplc="37E00D5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D61A7"/>
    <w:multiLevelType w:val="hybridMultilevel"/>
    <w:tmpl w:val="32F0A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02C78"/>
    <w:multiLevelType w:val="hybridMultilevel"/>
    <w:tmpl w:val="42180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57E95"/>
    <w:multiLevelType w:val="hybridMultilevel"/>
    <w:tmpl w:val="D8E0A8B2"/>
    <w:lvl w:ilvl="0" w:tplc="19D665B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E1E6E"/>
    <w:multiLevelType w:val="hybridMultilevel"/>
    <w:tmpl w:val="DA8CA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2048C"/>
    <w:multiLevelType w:val="hybridMultilevel"/>
    <w:tmpl w:val="DE3C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354052">
    <w:abstractNumId w:val="0"/>
  </w:num>
  <w:num w:numId="2" w16cid:durableId="1067454119">
    <w:abstractNumId w:val="1"/>
  </w:num>
  <w:num w:numId="3" w16cid:durableId="264464758">
    <w:abstractNumId w:val="5"/>
  </w:num>
  <w:num w:numId="4" w16cid:durableId="142738649">
    <w:abstractNumId w:val="7"/>
  </w:num>
  <w:num w:numId="5" w16cid:durableId="848325959">
    <w:abstractNumId w:val="4"/>
  </w:num>
  <w:num w:numId="6" w16cid:durableId="497620233">
    <w:abstractNumId w:val="2"/>
  </w:num>
  <w:num w:numId="7" w16cid:durableId="766313409">
    <w:abstractNumId w:val="3"/>
  </w:num>
  <w:num w:numId="8" w16cid:durableId="8013412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1FD"/>
    <w:rsid w:val="00020FC7"/>
    <w:rsid w:val="000311FD"/>
    <w:rsid w:val="000F2D4C"/>
    <w:rsid w:val="0010515D"/>
    <w:rsid w:val="00131ECC"/>
    <w:rsid w:val="001F705C"/>
    <w:rsid w:val="00280001"/>
    <w:rsid w:val="004F5DED"/>
    <w:rsid w:val="00562C80"/>
    <w:rsid w:val="005D05E0"/>
    <w:rsid w:val="005D2649"/>
    <w:rsid w:val="00621D1A"/>
    <w:rsid w:val="007E0858"/>
    <w:rsid w:val="007E1531"/>
    <w:rsid w:val="00884E14"/>
    <w:rsid w:val="008B5EB6"/>
    <w:rsid w:val="00986070"/>
    <w:rsid w:val="009C6FD3"/>
    <w:rsid w:val="009E6BB2"/>
    <w:rsid w:val="00AF2323"/>
    <w:rsid w:val="00B57FC4"/>
    <w:rsid w:val="00B650E3"/>
    <w:rsid w:val="00B709DC"/>
    <w:rsid w:val="00D02A5E"/>
    <w:rsid w:val="00D14681"/>
    <w:rsid w:val="00D367B5"/>
    <w:rsid w:val="00D63BCD"/>
    <w:rsid w:val="00E07740"/>
    <w:rsid w:val="00E92C23"/>
    <w:rsid w:val="00F444B4"/>
    <w:rsid w:val="00FB4D97"/>
    <w:rsid w:val="00FD5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8C0F"/>
  <w15:docId w15:val="{B7508022-DF12-48DD-AFA8-BBD844AA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31E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20F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Mecenas</dc:creator>
  <cp:keywords/>
  <dc:description/>
  <cp:lastModifiedBy>Janusz Szempliński</cp:lastModifiedBy>
  <cp:revision>5</cp:revision>
  <cp:lastPrinted>2025-01-03T10:50:00Z</cp:lastPrinted>
  <dcterms:created xsi:type="dcterms:W3CDTF">2025-01-03T08:07:00Z</dcterms:created>
  <dcterms:modified xsi:type="dcterms:W3CDTF">2025-01-03T10:50:00Z</dcterms:modified>
</cp:coreProperties>
</file>