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F69305" w14:textId="77777777" w:rsidR="000A3BDB" w:rsidRPr="00E612D4" w:rsidRDefault="000A3BDB" w:rsidP="00E612D4">
      <w:pPr>
        <w:widowControl w:val="0"/>
        <w:spacing w:after="360" w:line="276" w:lineRule="auto"/>
        <w:rPr>
          <w:rFonts w:ascii="Arial" w:hAnsi="Arial" w:cs="Arial"/>
          <w:b/>
          <w:bCs/>
          <w:spacing w:val="20"/>
        </w:rPr>
      </w:pPr>
      <w:r w:rsidRPr="00E612D4">
        <w:rPr>
          <w:rFonts w:ascii="Arial" w:hAnsi="Arial" w:cs="Arial"/>
          <w:b/>
          <w:spacing w:val="20"/>
        </w:rPr>
        <w:t>ZARZĄDZENIE N</w:t>
      </w:r>
      <w:r w:rsidR="004E7E1E" w:rsidRPr="00E612D4">
        <w:rPr>
          <w:rFonts w:ascii="Arial" w:hAnsi="Arial" w:cs="Arial"/>
          <w:b/>
          <w:spacing w:val="20"/>
        </w:rPr>
        <w:t>R</w:t>
      </w:r>
      <w:r w:rsidR="00462F69" w:rsidRPr="00E612D4">
        <w:rPr>
          <w:rFonts w:ascii="Arial" w:hAnsi="Arial" w:cs="Arial"/>
          <w:b/>
          <w:spacing w:val="20"/>
        </w:rPr>
        <w:t xml:space="preserve"> </w:t>
      </w:r>
      <w:r w:rsidR="00694762" w:rsidRPr="00E612D4">
        <w:rPr>
          <w:rFonts w:ascii="Arial" w:hAnsi="Arial" w:cs="Arial"/>
          <w:b/>
          <w:spacing w:val="20"/>
        </w:rPr>
        <w:t>228</w:t>
      </w:r>
      <w:r w:rsidR="004E7E1E" w:rsidRPr="00E612D4">
        <w:rPr>
          <w:rFonts w:ascii="Arial" w:hAnsi="Arial" w:cs="Arial"/>
          <w:b/>
          <w:spacing w:val="20"/>
        </w:rPr>
        <w:t>/2022</w:t>
      </w:r>
      <w:r w:rsidR="003D1342" w:rsidRPr="00E612D4">
        <w:rPr>
          <w:rFonts w:ascii="Arial" w:hAnsi="Arial" w:cs="Arial"/>
          <w:b/>
          <w:spacing w:val="20"/>
        </w:rPr>
        <w:br/>
      </w:r>
      <w:r w:rsidR="004E7E1E" w:rsidRPr="00E612D4">
        <w:rPr>
          <w:rFonts w:ascii="Arial" w:hAnsi="Arial" w:cs="Arial"/>
          <w:b/>
          <w:iCs/>
          <w:spacing w:val="20"/>
        </w:rPr>
        <w:t>BURMISTRZA MIASTA MŁAWA</w:t>
      </w:r>
      <w:r w:rsidR="003D1342" w:rsidRPr="00E612D4">
        <w:rPr>
          <w:rFonts w:ascii="Arial" w:hAnsi="Arial" w:cs="Arial"/>
          <w:iCs/>
          <w:spacing w:val="20"/>
        </w:rPr>
        <w:br/>
      </w:r>
      <w:r w:rsidRPr="00E612D4">
        <w:rPr>
          <w:rFonts w:ascii="Arial" w:hAnsi="Arial" w:cs="Arial"/>
          <w:b/>
          <w:spacing w:val="20"/>
        </w:rPr>
        <w:t>z dnia</w:t>
      </w:r>
      <w:r w:rsidR="00462F69" w:rsidRPr="00E612D4">
        <w:rPr>
          <w:rFonts w:ascii="Arial" w:hAnsi="Arial" w:cs="Arial"/>
          <w:b/>
          <w:spacing w:val="20"/>
        </w:rPr>
        <w:t xml:space="preserve"> </w:t>
      </w:r>
      <w:r w:rsidR="00694762" w:rsidRPr="00E612D4">
        <w:rPr>
          <w:rFonts w:ascii="Arial" w:hAnsi="Arial" w:cs="Arial"/>
          <w:b/>
          <w:spacing w:val="20"/>
        </w:rPr>
        <w:t>2 grudnia 2022 r.</w:t>
      </w:r>
    </w:p>
    <w:p w14:paraId="32730CB8" w14:textId="6515DAC2" w:rsidR="000A3BDB" w:rsidRPr="00E612D4" w:rsidRDefault="000A3BDB" w:rsidP="00E612D4">
      <w:pPr>
        <w:widowControl w:val="0"/>
        <w:spacing w:after="240" w:line="276" w:lineRule="auto"/>
        <w:rPr>
          <w:rFonts w:ascii="Arial" w:hAnsi="Arial" w:cs="Arial"/>
          <w:b/>
          <w:bCs/>
          <w:color w:val="000000"/>
          <w:spacing w:val="20"/>
          <w:lang/>
        </w:rPr>
      </w:pPr>
      <w:r w:rsidRPr="00E612D4">
        <w:rPr>
          <w:rFonts w:ascii="Arial" w:hAnsi="Arial" w:cs="Arial"/>
          <w:b/>
          <w:bCs/>
          <w:spacing w:val="20"/>
        </w:rPr>
        <w:t>w sprawie</w:t>
      </w:r>
      <w:r w:rsidR="00E612D4">
        <w:rPr>
          <w:rFonts w:ascii="Arial" w:hAnsi="Arial" w:cs="Arial"/>
          <w:b/>
          <w:bCs/>
          <w:spacing w:val="20"/>
        </w:rPr>
        <w:t xml:space="preserve"> </w:t>
      </w:r>
      <w:r w:rsidRPr="00E612D4">
        <w:rPr>
          <w:rFonts w:ascii="Arial" w:hAnsi="Arial" w:cs="Arial"/>
          <w:b/>
          <w:bCs/>
          <w:spacing w:val="20"/>
        </w:rPr>
        <w:t xml:space="preserve">instrukcji kancelaryjnej, jednolitego rzeczowego wykazu akt </w:t>
      </w:r>
      <w:r w:rsidRPr="00E612D4">
        <w:rPr>
          <w:rFonts w:ascii="Arial" w:hAnsi="Arial" w:cs="Arial"/>
          <w:b/>
          <w:color w:val="000000"/>
          <w:spacing w:val="20"/>
          <w:lang/>
        </w:rPr>
        <w:t>oraz instrukcji w sprawie organizacji i zakresu działania składnic akt dla jednostek systemu oświaty</w:t>
      </w:r>
      <w:r w:rsidR="00E612D4">
        <w:rPr>
          <w:rFonts w:ascii="Arial" w:hAnsi="Arial" w:cs="Arial"/>
          <w:b/>
          <w:color w:val="000000"/>
          <w:spacing w:val="20"/>
          <w:lang/>
        </w:rPr>
        <w:t xml:space="preserve"> </w:t>
      </w:r>
      <w:r w:rsidR="00694762" w:rsidRPr="00E612D4">
        <w:rPr>
          <w:rFonts w:ascii="Arial" w:hAnsi="Arial" w:cs="Arial"/>
          <w:b/>
          <w:color w:val="000000"/>
          <w:spacing w:val="20"/>
          <w:lang/>
        </w:rPr>
        <w:t>M</w:t>
      </w:r>
      <w:r w:rsidR="00EB77B0" w:rsidRPr="00E612D4">
        <w:rPr>
          <w:rFonts w:ascii="Arial" w:hAnsi="Arial" w:cs="Arial"/>
          <w:b/>
          <w:color w:val="000000"/>
          <w:spacing w:val="20"/>
          <w:lang/>
        </w:rPr>
        <w:t>iasta Mława</w:t>
      </w:r>
      <w:r w:rsidR="00DE57E5" w:rsidRPr="00E612D4">
        <w:rPr>
          <w:rFonts w:ascii="Arial" w:hAnsi="Arial" w:cs="Arial"/>
          <w:b/>
          <w:bCs/>
          <w:iCs/>
          <w:color w:val="000000"/>
          <w:spacing w:val="20"/>
          <w:lang/>
        </w:rPr>
        <w:t>.</w:t>
      </w:r>
    </w:p>
    <w:p w14:paraId="02BBC9E3" w14:textId="77777777" w:rsidR="000A3BDB" w:rsidRPr="00E612D4" w:rsidRDefault="000A3BDB" w:rsidP="00E612D4">
      <w:pPr>
        <w:widowControl w:val="0"/>
        <w:spacing w:after="240" w:line="276" w:lineRule="auto"/>
        <w:ind w:firstLine="709"/>
        <w:rPr>
          <w:rFonts w:ascii="Arial" w:hAnsi="Arial" w:cs="Arial"/>
          <w:spacing w:val="20"/>
          <w:sz w:val="22"/>
          <w:szCs w:val="22"/>
        </w:rPr>
      </w:pPr>
      <w:r w:rsidRPr="00E612D4">
        <w:rPr>
          <w:rFonts w:ascii="Arial" w:hAnsi="Arial" w:cs="Arial"/>
          <w:color w:val="000000"/>
          <w:spacing w:val="20"/>
          <w:lang/>
        </w:rPr>
        <w:t xml:space="preserve">Na podstawie art. 6 ust. 2f i 2h </w:t>
      </w:r>
      <w:r w:rsidRPr="00E612D4">
        <w:rPr>
          <w:rFonts w:ascii="Arial" w:hAnsi="Arial" w:cs="Arial"/>
          <w:spacing w:val="20"/>
        </w:rPr>
        <w:t xml:space="preserve">ustawy z dnia 14 lipca 1983 r. o narodowym zasobie archiwalnym i archiwach (Dz. U. </w:t>
      </w:r>
      <w:r w:rsidR="003C738A" w:rsidRPr="00E612D4">
        <w:rPr>
          <w:rFonts w:ascii="Arial" w:hAnsi="Arial" w:cs="Arial"/>
          <w:spacing w:val="20"/>
        </w:rPr>
        <w:t xml:space="preserve">z </w:t>
      </w:r>
      <w:r w:rsidRPr="00E612D4">
        <w:rPr>
          <w:rFonts w:ascii="Arial" w:hAnsi="Arial" w:cs="Arial"/>
          <w:spacing w:val="20"/>
        </w:rPr>
        <w:t>2020, poz. 164)</w:t>
      </w:r>
      <w:r w:rsidRPr="00E612D4">
        <w:rPr>
          <w:rFonts w:ascii="Arial" w:hAnsi="Arial" w:cs="Arial"/>
          <w:color w:val="000000"/>
          <w:spacing w:val="20"/>
          <w:lang/>
        </w:rPr>
        <w:t>, zarządza się, co następuje:</w:t>
      </w:r>
    </w:p>
    <w:p w14:paraId="793CB12C" w14:textId="77777777" w:rsidR="000A3BDB" w:rsidRPr="00E612D4" w:rsidRDefault="000A3BDB" w:rsidP="00E612D4">
      <w:pPr>
        <w:widowControl w:val="0"/>
        <w:spacing w:after="120" w:line="276" w:lineRule="auto"/>
        <w:rPr>
          <w:rFonts w:ascii="Arial" w:hAnsi="Arial" w:cs="Arial"/>
          <w:spacing w:val="20"/>
        </w:rPr>
      </w:pPr>
      <w:r w:rsidRPr="00E612D4">
        <w:rPr>
          <w:rFonts w:ascii="Arial" w:hAnsi="Arial" w:cs="Arial"/>
          <w:spacing w:val="20"/>
        </w:rPr>
        <w:t>§ 1.</w:t>
      </w:r>
      <w:r w:rsidR="004E7E1E" w:rsidRPr="00E612D4">
        <w:rPr>
          <w:rFonts w:ascii="Arial" w:hAnsi="Arial" w:cs="Arial"/>
          <w:spacing w:val="20"/>
        </w:rPr>
        <w:t xml:space="preserve"> </w:t>
      </w:r>
      <w:r w:rsidRPr="00E612D4">
        <w:rPr>
          <w:rFonts w:ascii="Arial" w:hAnsi="Arial" w:cs="Arial"/>
          <w:spacing w:val="20"/>
        </w:rPr>
        <w:t>1. Zarządzenie określa:</w:t>
      </w:r>
    </w:p>
    <w:p w14:paraId="2865EF88" w14:textId="77777777" w:rsidR="000A3BDB" w:rsidRPr="00E612D4" w:rsidRDefault="000A3BDB" w:rsidP="00E612D4">
      <w:pPr>
        <w:widowControl w:val="0"/>
        <w:numPr>
          <w:ilvl w:val="0"/>
          <w:numId w:val="2"/>
        </w:numPr>
        <w:tabs>
          <w:tab w:val="clear" w:pos="709"/>
        </w:tabs>
        <w:spacing w:line="276" w:lineRule="auto"/>
        <w:ind w:left="284" w:hanging="284"/>
        <w:rPr>
          <w:rFonts w:ascii="Arial" w:hAnsi="Arial" w:cs="Arial"/>
          <w:spacing w:val="20"/>
        </w:rPr>
      </w:pPr>
      <w:r w:rsidRPr="00E612D4">
        <w:rPr>
          <w:rFonts w:ascii="Arial" w:hAnsi="Arial" w:cs="Arial"/>
          <w:color w:val="000000"/>
          <w:spacing w:val="20"/>
          <w:lang/>
        </w:rPr>
        <w:t>instrukcję kancelaryjną, stanowiącą załącznik nr 1 do zarządzenia;</w:t>
      </w:r>
    </w:p>
    <w:p w14:paraId="69A2F943" w14:textId="77777777" w:rsidR="000A3BDB" w:rsidRPr="00E612D4" w:rsidRDefault="000A3BDB" w:rsidP="00E612D4">
      <w:pPr>
        <w:widowControl w:val="0"/>
        <w:numPr>
          <w:ilvl w:val="0"/>
          <w:numId w:val="2"/>
        </w:numPr>
        <w:tabs>
          <w:tab w:val="clear" w:pos="709"/>
          <w:tab w:val="left" w:pos="284"/>
        </w:tabs>
        <w:spacing w:line="276" w:lineRule="auto"/>
        <w:ind w:left="284" w:hanging="284"/>
        <w:rPr>
          <w:rFonts w:ascii="Arial" w:hAnsi="Arial" w:cs="Arial"/>
          <w:spacing w:val="20"/>
        </w:rPr>
      </w:pPr>
      <w:r w:rsidRPr="00E612D4">
        <w:rPr>
          <w:rFonts w:ascii="Arial" w:hAnsi="Arial" w:cs="Arial"/>
          <w:color w:val="000000"/>
          <w:spacing w:val="20"/>
          <w:lang/>
        </w:rPr>
        <w:t>sposób klasyfikowania i kwalifikowania dokumentacji w formie jednolitego rzeczowego</w:t>
      </w:r>
      <w:r w:rsidR="00AB6BE1" w:rsidRPr="00E612D4">
        <w:rPr>
          <w:rFonts w:ascii="Arial" w:hAnsi="Arial" w:cs="Arial"/>
          <w:color w:val="000000"/>
          <w:spacing w:val="20"/>
          <w:lang/>
        </w:rPr>
        <w:t xml:space="preserve"> </w:t>
      </w:r>
      <w:r w:rsidRPr="00E612D4">
        <w:rPr>
          <w:rFonts w:ascii="Arial" w:hAnsi="Arial" w:cs="Arial"/>
          <w:color w:val="000000"/>
          <w:spacing w:val="20"/>
          <w:lang/>
        </w:rPr>
        <w:t>wykazu akt, stanowiący załącznik nr 2 do zarządzenia;</w:t>
      </w:r>
    </w:p>
    <w:p w14:paraId="2C417CC5" w14:textId="77777777" w:rsidR="000A3BDB" w:rsidRPr="00E612D4" w:rsidRDefault="000A3BDB" w:rsidP="00E612D4">
      <w:pPr>
        <w:widowControl w:val="0"/>
        <w:numPr>
          <w:ilvl w:val="0"/>
          <w:numId w:val="2"/>
        </w:numPr>
        <w:tabs>
          <w:tab w:val="clear" w:pos="709"/>
          <w:tab w:val="left" w:pos="284"/>
        </w:tabs>
        <w:spacing w:after="120" w:line="276" w:lineRule="auto"/>
        <w:ind w:left="284" w:hanging="284"/>
        <w:rPr>
          <w:rFonts w:ascii="Arial" w:hAnsi="Arial" w:cs="Arial"/>
          <w:spacing w:val="20"/>
          <w:lang/>
        </w:rPr>
      </w:pPr>
      <w:r w:rsidRPr="00E612D4">
        <w:rPr>
          <w:rFonts w:ascii="Arial" w:hAnsi="Arial" w:cs="Arial"/>
          <w:color w:val="000000"/>
          <w:spacing w:val="20"/>
          <w:lang/>
        </w:rPr>
        <w:t>instrukcję w sprawie organizacji i zakresu działania składnic akt, zwaną dalej „instrukcją archiwalną”, stanowiącą załącznik nr 3 do zarządzenia,</w:t>
      </w:r>
      <w:r w:rsidR="00D6585C" w:rsidRPr="00E612D4">
        <w:rPr>
          <w:rFonts w:ascii="Arial" w:hAnsi="Arial" w:cs="Arial"/>
          <w:color w:val="000000"/>
          <w:spacing w:val="20"/>
          <w:lang/>
        </w:rPr>
        <w:t xml:space="preserve"> </w:t>
      </w:r>
      <w:r w:rsidRPr="00E612D4">
        <w:rPr>
          <w:rFonts w:ascii="Arial" w:hAnsi="Arial" w:cs="Arial"/>
          <w:spacing w:val="20"/>
          <w:lang/>
        </w:rPr>
        <w:t xml:space="preserve">dla </w:t>
      </w:r>
      <w:r w:rsidRPr="00E612D4">
        <w:rPr>
          <w:rFonts w:ascii="Arial" w:hAnsi="Arial" w:cs="Arial"/>
          <w:spacing w:val="20"/>
        </w:rPr>
        <w:t>jednostek systemu oświaty, o</w:t>
      </w:r>
      <w:r w:rsidR="00AB6BE1" w:rsidRPr="00E612D4">
        <w:rPr>
          <w:rFonts w:ascii="Arial" w:hAnsi="Arial" w:cs="Arial"/>
          <w:spacing w:val="20"/>
        </w:rPr>
        <w:t> </w:t>
      </w:r>
      <w:r w:rsidRPr="00E612D4">
        <w:rPr>
          <w:rFonts w:ascii="Arial" w:hAnsi="Arial" w:cs="Arial"/>
          <w:spacing w:val="20"/>
        </w:rPr>
        <w:t xml:space="preserve">których mowa w art. 2 pkt </w:t>
      </w:r>
      <w:r w:rsidR="00095C06" w:rsidRPr="00E612D4">
        <w:rPr>
          <w:rFonts w:ascii="Arial" w:hAnsi="Arial" w:cs="Arial"/>
          <w:spacing w:val="20"/>
        </w:rPr>
        <w:t>1 i pkt</w:t>
      </w:r>
      <w:r w:rsidRPr="00E612D4">
        <w:rPr>
          <w:rFonts w:ascii="Arial" w:hAnsi="Arial" w:cs="Arial"/>
          <w:spacing w:val="20"/>
        </w:rPr>
        <w:t xml:space="preserve"> </w:t>
      </w:r>
      <w:r w:rsidR="00095C06" w:rsidRPr="00E612D4">
        <w:rPr>
          <w:rFonts w:ascii="Arial" w:hAnsi="Arial" w:cs="Arial"/>
          <w:spacing w:val="20"/>
        </w:rPr>
        <w:t xml:space="preserve">2 </w:t>
      </w:r>
      <w:proofErr w:type="spellStart"/>
      <w:r w:rsidR="00095C06" w:rsidRPr="00E612D4">
        <w:rPr>
          <w:rFonts w:ascii="Arial" w:hAnsi="Arial" w:cs="Arial"/>
          <w:spacing w:val="20"/>
        </w:rPr>
        <w:t>ppkt</w:t>
      </w:r>
      <w:proofErr w:type="spellEnd"/>
      <w:r w:rsidR="00095C06" w:rsidRPr="00E612D4">
        <w:rPr>
          <w:rFonts w:ascii="Arial" w:hAnsi="Arial" w:cs="Arial"/>
          <w:spacing w:val="20"/>
        </w:rPr>
        <w:t xml:space="preserve"> a)</w:t>
      </w:r>
      <w:r w:rsidRPr="00E612D4">
        <w:rPr>
          <w:rFonts w:ascii="Arial" w:hAnsi="Arial" w:cs="Arial"/>
          <w:spacing w:val="20"/>
        </w:rPr>
        <w:t xml:space="preserve"> ustawy z dnia 14</w:t>
      </w:r>
      <w:r w:rsidR="00A54FF2" w:rsidRPr="00E612D4">
        <w:rPr>
          <w:rFonts w:ascii="Arial" w:hAnsi="Arial" w:cs="Arial"/>
          <w:spacing w:val="20"/>
        </w:rPr>
        <w:t xml:space="preserve"> </w:t>
      </w:r>
      <w:r w:rsidRPr="00E612D4">
        <w:rPr>
          <w:rFonts w:ascii="Arial" w:hAnsi="Arial" w:cs="Arial"/>
          <w:spacing w:val="20"/>
        </w:rPr>
        <w:t>grudnia 2016 r. Prawo oświatowe (Dz. U. z 202</w:t>
      </w:r>
      <w:r w:rsidR="003C738A" w:rsidRPr="00E612D4">
        <w:rPr>
          <w:rFonts w:ascii="Arial" w:hAnsi="Arial" w:cs="Arial"/>
          <w:spacing w:val="20"/>
        </w:rPr>
        <w:t>1</w:t>
      </w:r>
      <w:r w:rsidRPr="00E612D4">
        <w:rPr>
          <w:rFonts w:ascii="Arial" w:hAnsi="Arial" w:cs="Arial"/>
          <w:spacing w:val="20"/>
        </w:rPr>
        <w:t xml:space="preserve"> r. poz. </w:t>
      </w:r>
      <w:r w:rsidR="003C738A" w:rsidRPr="00E612D4">
        <w:rPr>
          <w:rFonts w:ascii="Arial" w:hAnsi="Arial" w:cs="Arial"/>
          <w:spacing w:val="20"/>
        </w:rPr>
        <w:t>1082</w:t>
      </w:r>
      <w:r w:rsidRPr="00E612D4">
        <w:rPr>
          <w:rFonts w:ascii="Arial" w:hAnsi="Arial" w:cs="Arial"/>
          <w:spacing w:val="20"/>
        </w:rPr>
        <w:t>)</w:t>
      </w:r>
      <w:r w:rsidR="00543D09" w:rsidRPr="00E612D4">
        <w:rPr>
          <w:rFonts w:ascii="Arial" w:hAnsi="Arial" w:cs="Arial"/>
          <w:spacing w:val="20"/>
        </w:rPr>
        <w:t xml:space="preserve"> oraz w art. 2 ust. 1 ustawy z dnia 4 lutego 2011 r. </w:t>
      </w:r>
      <w:r w:rsidR="00210AB2" w:rsidRPr="00E612D4">
        <w:rPr>
          <w:rFonts w:ascii="Arial" w:hAnsi="Arial" w:cs="Arial"/>
          <w:spacing w:val="20"/>
        </w:rPr>
        <w:t>o </w:t>
      </w:r>
      <w:r w:rsidR="00671C13" w:rsidRPr="00E612D4">
        <w:rPr>
          <w:rFonts w:ascii="Arial" w:hAnsi="Arial" w:cs="Arial"/>
          <w:spacing w:val="20"/>
        </w:rPr>
        <w:t xml:space="preserve">opiece nad dziećmi w wieku do lat 3 </w:t>
      </w:r>
      <w:r w:rsidR="00543D09" w:rsidRPr="00E612D4">
        <w:rPr>
          <w:rFonts w:ascii="Arial" w:hAnsi="Arial" w:cs="Arial"/>
          <w:spacing w:val="20"/>
        </w:rPr>
        <w:t>(Dz. U. z 2021 r., poz. 75)</w:t>
      </w:r>
      <w:r w:rsidRPr="00E612D4">
        <w:rPr>
          <w:rFonts w:ascii="Arial" w:hAnsi="Arial" w:cs="Arial"/>
          <w:spacing w:val="20"/>
          <w:lang/>
        </w:rPr>
        <w:t>, zwanych dalej „podmiotami”, w których funkcjonują składnice akt w rozumieniu art. 36 ustawy z dnia 14</w:t>
      </w:r>
      <w:r w:rsidR="00095C06" w:rsidRPr="00E612D4">
        <w:rPr>
          <w:rFonts w:ascii="Arial" w:hAnsi="Arial" w:cs="Arial"/>
          <w:spacing w:val="20"/>
          <w:lang/>
        </w:rPr>
        <w:t> </w:t>
      </w:r>
      <w:r w:rsidRPr="00E612D4">
        <w:rPr>
          <w:rFonts w:ascii="Arial" w:hAnsi="Arial" w:cs="Arial"/>
          <w:spacing w:val="20"/>
          <w:lang/>
        </w:rPr>
        <w:t xml:space="preserve">lipca 1983 r. o narodowym zasobie archiwalnym i archiwach (Dz. U. 2020, poz. 164), </w:t>
      </w:r>
      <w:r w:rsidR="00210AB2" w:rsidRPr="00E612D4">
        <w:rPr>
          <w:rFonts w:ascii="Arial" w:hAnsi="Arial" w:cs="Arial"/>
          <w:spacing w:val="20"/>
          <w:lang/>
        </w:rPr>
        <w:t>i </w:t>
      </w:r>
      <w:r w:rsidRPr="00E612D4">
        <w:rPr>
          <w:rFonts w:ascii="Arial" w:hAnsi="Arial" w:cs="Arial"/>
          <w:spacing w:val="20"/>
          <w:lang/>
        </w:rPr>
        <w:t xml:space="preserve">dla których organem prowadzącym jest </w:t>
      </w:r>
      <w:r w:rsidR="00EB77B0" w:rsidRPr="00E612D4">
        <w:rPr>
          <w:rFonts w:ascii="Arial" w:hAnsi="Arial" w:cs="Arial"/>
          <w:spacing w:val="20"/>
          <w:lang/>
        </w:rPr>
        <w:t>miasto Mława</w:t>
      </w:r>
      <w:r w:rsidR="00095C06" w:rsidRPr="00E612D4">
        <w:rPr>
          <w:rFonts w:ascii="Arial" w:hAnsi="Arial" w:cs="Arial"/>
          <w:spacing w:val="20"/>
          <w:lang/>
        </w:rPr>
        <w:t>.</w:t>
      </w:r>
    </w:p>
    <w:p w14:paraId="675C6DF3" w14:textId="77777777" w:rsidR="000A3BDB" w:rsidRPr="00E612D4" w:rsidRDefault="000A3BDB" w:rsidP="00E612D4">
      <w:pPr>
        <w:pStyle w:val="Default"/>
        <w:widowControl w:val="0"/>
        <w:spacing w:after="120" w:line="276" w:lineRule="auto"/>
        <w:rPr>
          <w:color w:val="auto"/>
          <w:spacing w:val="20"/>
          <w:lang/>
        </w:rPr>
      </w:pPr>
      <w:r w:rsidRPr="00E612D4">
        <w:rPr>
          <w:color w:val="auto"/>
          <w:spacing w:val="20"/>
          <w:lang/>
        </w:rPr>
        <w:t xml:space="preserve">2. </w:t>
      </w:r>
      <w:r w:rsidRPr="00E612D4">
        <w:rPr>
          <w:spacing w:val="20"/>
          <w:lang/>
        </w:rPr>
        <w:t>Zarządzenie nie dotyczy podmiotów</w:t>
      </w:r>
      <w:r w:rsidRPr="00E612D4">
        <w:rPr>
          <w:spacing w:val="20"/>
          <w:lang/>
        </w:rPr>
        <w:t>, w których czynności kancelaryjn</w:t>
      </w:r>
      <w:r w:rsidRPr="00E612D4">
        <w:rPr>
          <w:color w:val="auto"/>
          <w:spacing w:val="20"/>
          <w:lang/>
        </w:rPr>
        <w:t>e</w:t>
      </w:r>
      <w:r w:rsidRPr="00E612D4">
        <w:rPr>
          <w:spacing w:val="20"/>
          <w:lang/>
        </w:rPr>
        <w:t>, dokumentowani</w:t>
      </w:r>
      <w:r w:rsidRPr="00E612D4">
        <w:rPr>
          <w:color w:val="auto"/>
          <w:spacing w:val="20"/>
          <w:lang/>
        </w:rPr>
        <w:t>e</w:t>
      </w:r>
      <w:r w:rsidRPr="00E612D4">
        <w:rPr>
          <w:spacing w:val="20"/>
          <w:lang/>
        </w:rPr>
        <w:t xml:space="preserve"> przebiegu załatwiania i realizowania spraw, gromadzeni</w:t>
      </w:r>
      <w:r w:rsidRPr="00E612D4">
        <w:rPr>
          <w:color w:val="auto"/>
          <w:spacing w:val="20"/>
          <w:lang/>
        </w:rPr>
        <w:t>e</w:t>
      </w:r>
      <w:r w:rsidRPr="00E612D4">
        <w:rPr>
          <w:spacing w:val="20"/>
          <w:lang/>
        </w:rPr>
        <w:t xml:space="preserve"> i tworzenie dokumentacji </w:t>
      </w:r>
      <w:r w:rsidR="00210AB2" w:rsidRPr="00E612D4">
        <w:rPr>
          <w:spacing w:val="20"/>
          <w:lang/>
        </w:rPr>
        <w:t>w </w:t>
      </w:r>
      <w:r w:rsidRPr="00E612D4">
        <w:rPr>
          <w:spacing w:val="20"/>
          <w:lang/>
        </w:rPr>
        <w:t xml:space="preserve">postaci elektronicznej, </w:t>
      </w:r>
      <w:r w:rsidRPr="00E612D4">
        <w:rPr>
          <w:color w:val="auto"/>
          <w:spacing w:val="20"/>
          <w:lang/>
        </w:rPr>
        <w:t>dokonywane</w:t>
      </w:r>
      <w:r w:rsidRPr="00E612D4">
        <w:rPr>
          <w:spacing w:val="20"/>
          <w:lang/>
        </w:rPr>
        <w:t xml:space="preserve"> jest w ramach </w:t>
      </w:r>
      <w:r w:rsidRPr="00E612D4">
        <w:rPr>
          <w:color w:val="auto"/>
          <w:spacing w:val="20"/>
          <w:lang/>
        </w:rPr>
        <w:t xml:space="preserve">elektronicznego zarządzania </w:t>
      </w:r>
      <w:r w:rsidRPr="00E612D4">
        <w:rPr>
          <w:spacing w:val="20"/>
          <w:lang/>
        </w:rPr>
        <w:t>dokumentacją (EZD), o</w:t>
      </w:r>
      <w:r w:rsidR="003D1342" w:rsidRPr="00E612D4">
        <w:rPr>
          <w:spacing w:val="20"/>
          <w:lang/>
        </w:rPr>
        <w:t xml:space="preserve"> </w:t>
      </w:r>
      <w:r w:rsidRPr="00E612D4">
        <w:rPr>
          <w:spacing w:val="20"/>
          <w:lang/>
        </w:rPr>
        <w:t xml:space="preserve">którym mowa w art. 6 ust. 1a ustawy z dnia 14 lipca 1983 r. </w:t>
      </w:r>
      <w:r w:rsidR="00210AB2" w:rsidRPr="00E612D4">
        <w:rPr>
          <w:spacing w:val="20"/>
          <w:lang/>
        </w:rPr>
        <w:t>o </w:t>
      </w:r>
      <w:r w:rsidRPr="00E612D4">
        <w:rPr>
          <w:spacing w:val="20"/>
          <w:lang/>
        </w:rPr>
        <w:t>narodowym zasobie archiwalnym i</w:t>
      </w:r>
      <w:r w:rsidR="00A54FF2" w:rsidRPr="00E612D4">
        <w:rPr>
          <w:spacing w:val="20"/>
          <w:lang/>
        </w:rPr>
        <w:t xml:space="preserve"> </w:t>
      </w:r>
      <w:r w:rsidRPr="00E612D4">
        <w:rPr>
          <w:spacing w:val="20"/>
          <w:lang/>
        </w:rPr>
        <w:t>archiwach (Dz. U. 2020, poz. 164).</w:t>
      </w:r>
    </w:p>
    <w:p w14:paraId="5FF3020E" w14:textId="77777777" w:rsidR="000A3BDB" w:rsidRPr="00E612D4" w:rsidRDefault="000A3BDB" w:rsidP="00E612D4">
      <w:pPr>
        <w:widowControl w:val="0"/>
        <w:spacing w:after="120" w:line="276" w:lineRule="auto"/>
        <w:rPr>
          <w:rFonts w:ascii="Arial" w:hAnsi="Arial" w:cs="Arial"/>
          <w:spacing w:val="20"/>
          <w:lang/>
        </w:rPr>
      </w:pPr>
      <w:r w:rsidRPr="00E612D4">
        <w:rPr>
          <w:rFonts w:ascii="Arial" w:hAnsi="Arial" w:cs="Arial"/>
          <w:spacing w:val="20"/>
          <w:lang/>
        </w:rPr>
        <w:t>3. Ilekroć w zarządzeniu jest mowa o kierowniku podmiotu, należy przez to rozumieć odpowiednio dyrektora podmiotu, o którym mowa w ust. 1.</w:t>
      </w:r>
    </w:p>
    <w:p w14:paraId="08A2B9D1" w14:textId="77777777" w:rsidR="000A3BDB" w:rsidRPr="00E612D4" w:rsidRDefault="000A3BDB" w:rsidP="00E612D4">
      <w:pPr>
        <w:pStyle w:val="Default"/>
        <w:widowControl w:val="0"/>
        <w:spacing w:after="120" w:line="276" w:lineRule="auto"/>
        <w:rPr>
          <w:b/>
          <w:bCs/>
          <w:color w:val="auto"/>
          <w:spacing w:val="20"/>
        </w:rPr>
      </w:pPr>
      <w:r w:rsidRPr="00E612D4">
        <w:rPr>
          <w:color w:val="auto"/>
          <w:spacing w:val="20"/>
        </w:rPr>
        <w:t>§ 2.</w:t>
      </w:r>
      <w:r w:rsidR="003A48F9" w:rsidRPr="00E612D4">
        <w:rPr>
          <w:b/>
          <w:bCs/>
          <w:color w:val="auto"/>
          <w:spacing w:val="20"/>
        </w:rPr>
        <w:t xml:space="preserve"> </w:t>
      </w:r>
      <w:r w:rsidRPr="00E612D4">
        <w:rPr>
          <w:spacing w:val="20"/>
        </w:rPr>
        <w:t xml:space="preserve">Zmian w przepisach, o których mowa w </w:t>
      </w:r>
      <w:r w:rsidRPr="00E612D4">
        <w:rPr>
          <w:bCs/>
          <w:spacing w:val="20"/>
        </w:rPr>
        <w:t xml:space="preserve">§ 1 ust. 1 pkt. 1-3 dokonuje </w:t>
      </w:r>
      <w:r w:rsidR="00EB77B0" w:rsidRPr="00E612D4">
        <w:rPr>
          <w:iCs/>
          <w:spacing w:val="20"/>
        </w:rPr>
        <w:t>Burmistrz Miasta Mława</w:t>
      </w:r>
      <w:r w:rsidR="00767532" w:rsidRPr="00E612D4">
        <w:rPr>
          <w:i/>
          <w:spacing w:val="20"/>
        </w:rPr>
        <w:t xml:space="preserve"> </w:t>
      </w:r>
      <w:r w:rsidRPr="00E612D4">
        <w:rPr>
          <w:spacing w:val="20"/>
        </w:rPr>
        <w:t>w</w:t>
      </w:r>
      <w:r w:rsidR="00A54FF2" w:rsidRPr="00E612D4">
        <w:rPr>
          <w:spacing w:val="20"/>
        </w:rPr>
        <w:t xml:space="preserve"> </w:t>
      </w:r>
      <w:r w:rsidRPr="00E612D4">
        <w:rPr>
          <w:spacing w:val="20"/>
        </w:rPr>
        <w:t>porozumieniu z dyrektorem Archiwum Państwowego w Warszawie, w drodze zarządzenia, na</w:t>
      </w:r>
      <w:r w:rsidR="00A54FF2" w:rsidRPr="00E612D4">
        <w:rPr>
          <w:spacing w:val="20"/>
        </w:rPr>
        <w:t xml:space="preserve"> </w:t>
      </w:r>
      <w:r w:rsidRPr="00E612D4">
        <w:rPr>
          <w:spacing w:val="20"/>
        </w:rPr>
        <w:t xml:space="preserve">wniosek kierowników podmiotów, o których mowa w </w:t>
      </w:r>
      <w:r w:rsidRPr="00E612D4">
        <w:rPr>
          <w:bCs/>
          <w:spacing w:val="20"/>
        </w:rPr>
        <w:t>§ 1 ust. 3.</w:t>
      </w:r>
    </w:p>
    <w:p w14:paraId="65BF3B86" w14:textId="77777777" w:rsidR="003A48F9" w:rsidRPr="00E612D4" w:rsidRDefault="000A3BDB" w:rsidP="00E612D4">
      <w:pPr>
        <w:pStyle w:val="Default"/>
        <w:widowControl w:val="0"/>
        <w:spacing w:after="120" w:line="276" w:lineRule="auto"/>
        <w:rPr>
          <w:spacing w:val="20"/>
        </w:rPr>
      </w:pPr>
      <w:r w:rsidRPr="00E612D4">
        <w:rPr>
          <w:color w:val="auto"/>
          <w:spacing w:val="20"/>
        </w:rPr>
        <w:t>§ 3.</w:t>
      </w:r>
      <w:r w:rsidR="003A48F9" w:rsidRPr="00E612D4">
        <w:rPr>
          <w:color w:val="auto"/>
          <w:spacing w:val="20"/>
        </w:rPr>
        <w:t xml:space="preserve"> </w:t>
      </w:r>
      <w:r w:rsidRPr="00E612D4">
        <w:rPr>
          <w:spacing w:val="20"/>
        </w:rPr>
        <w:t>Nadzór ogólny nad prawidłowym wykonywaniem czynności kancelaryjnych i archiwalnych w</w:t>
      </w:r>
      <w:r w:rsidR="00EB77B0" w:rsidRPr="00E612D4">
        <w:rPr>
          <w:spacing w:val="20"/>
        </w:rPr>
        <w:t> </w:t>
      </w:r>
      <w:r w:rsidRPr="00E612D4">
        <w:rPr>
          <w:spacing w:val="20"/>
        </w:rPr>
        <w:t xml:space="preserve">podmiotach należy do kierowników </w:t>
      </w:r>
      <w:r w:rsidRPr="00E612D4">
        <w:rPr>
          <w:spacing w:val="20"/>
        </w:rPr>
        <w:lastRenderedPageBreak/>
        <w:t>tych podmiotów.</w:t>
      </w:r>
    </w:p>
    <w:p w14:paraId="745B7126" w14:textId="77777777" w:rsidR="000A3BDB" w:rsidRPr="00E612D4" w:rsidRDefault="000A3BDB" w:rsidP="00E612D4">
      <w:pPr>
        <w:pStyle w:val="Default"/>
        <w:widowControl w:val="0"/>
        <w:spacing w:after="120" w:line="276" w:lineRule="auto"/>
        <w:rPr>
          <w:b/>
          <w:bCs/>
          <w:color w:val="auto"/>
          <w:spacing w:val="20"/>
        </w:rPr>
      </w:pPr>
      <w:r w:rsidRPr="00E612D4">
        <w:rPr>
          <w:color w:val="auto"/>
          <w:spacing w:val="20"/>
        </w:rPr>
        <w:t>§ 4.</w:t>
      </w:r>
      <w:r w:rsidR="003A48F9" w:rsidRPr="00E612D4">
        <w:rPr>
          <w:b/>
          <w:bCs/>
          <w:color w:val="auto"/>
          <w:spacing w:val="20"/>
        </w:rPr>
        <w:t xml:space="preserve"> </w:t>
      </w:r>
      <w:r w:rsidRPr="00E612D4">
        <w:rPr>
          <w:spacing w:val="20"/>
        </w:rPr>
        <w:t>Sprawy prowadzone w podmiocie, a niezakończone do dnia wejścia w życie zarządzenia</w:t>
      </w:r>
      <w:r w:rsidR="003D1342" w:rsidRPr="00E612D4">
        <w:rPr>
          <w:spacing w:val="20"/>
        </w:rPr>
        <w:t xml:space="preserve"> </w:t>
      </w:r>
      <w:r w:rsidRPr="00E612D4">
        <w:rPr>
          <w:spacing w:val="20"/>
        </w:rPr>
        <w:t>załatwia się bez zmiany dotychczasowego znaku sprawy aż do ich zakończenia.</w:t>
      </w:r>
    </w:p>
    <w:p w14:paraId="7310A71A" w14:textId="77777777" w:rsidR="00141E40" w:rsidRPr="00E612D4" w:rsidRDefault="000A3BDB" w:rsidP="00E612D4">
      <w:pPr>
        <w:pStyle w:val="Default"/>
        <w:widowControl w:val="0"/>
        <w:spacing w:after="120" w:line="276" w:lineRule="auto"/>
        <w:rPr>
          <w:spacing w:val="20"/>
        </w:rPr>
      </w:pPr>
      <w:r w:rsidRPr="00E612D4">
        <w:rPr>
          <w:color w:val="auto"/>
          <w:spacing w:val="20"/>
        </w:rPr>
        <w:t>§ 5.</w:t>
      </w:r>
      <w:r w:rsidR="003A48F9" w:rsidRPr="00E612D4">
        <w:rPr>
          <w:color w:val="auto"/>
          <w:spacing w:val="20"/>
        </w:rPr>
        <w:t xml:space="preserve"> </w:t>
      </w:r>
      <w:r w:rsidRPr="00E612D4">
        <w:rPr>
          <w:spacing w:val="20"/>
        </w:rPr>
        <w:t>Dokumentacja wytworzona i</w:t>
      </w:r>
      <w:r w:rsidR="00AB6BE1" w:rsidRPr="00E612D4">
        <w:rPr>
          <w:spacing w:val="20"/>
        </w:rPr>
        <w:t xml:space="preserve"> </w:t>
      </w:r>
      <w:r w:rsidRPr="00E612D4">
        <w:rPr>
          <w:spacing w:val="20"/>
        </w:rPr>
        <w:t>zgromadzona w</w:t>
      </w:r>
      <w:r w:rsidR="00A54FF2" w:rsidRPr="00E612D4">
        <w:rPr>
          <w:spacing w:val="20"/>
        </w:rPr>
        <w:t xml:space="preserve"> </w:t>
      </w:r>
      <w:r w:rsidRPr="00E612D4">
        <w:rPr>
          <w:spacing w:val="20"/>
        </w:rPr>
        <w:t>po</w:t>
      </w:r>
      <w:r w:rsidRPr="00E612D4">
        <w:rPr>
          <w:bCs/>
          <w:spacing w:val="20"/>
        </w:rPr>
        <w:t>dmiocie</w:t>
      </w:r>
      <w:r w:rsidRPr="00E612D4">
        <w:rPr>
          <w:b/>
          <w:bCs/>
          <w:spacing w:val="20"/>
        </w:rPr>
        <w:t xml:space="preserve"> </w:t>
      </w:r>
      <w:r w:rsidRPr="00E612D4">
        <w:rPr>
          <w:spacing w:val="20"/>
        </w:rPr>
        <w:t>przed dniem wejścia w życie zarządzenia podlega ponownej kwalifikacji do kategorii archiwalnych określonych w jednolitym rzeczowym wykazie akt, o</w:t>
      </w:r>
      <w:r w:rsidR="00A54FF2" w:rsidRPr="00E612D4">
        <w:rPr>
          <w:spacing w:val="20"/>
        </w:rPr>
        <w:t xml:space="preserve"> </w:t>
      </w:r>
      <w:r w:rsidRPr="00E612D4">
        <w:rPr>
          <w:spacing w:val="20"/>
        </w:rPr>
        <w:t>którym mowa w § 1 ust. 1 pkt 2, jeżeli dotychczasowe przepisy określały niższą wartość archiwalną tej dokumentacji lub krótszy okres jej przechowywania.</w:t>
      </w:r>
    </w:p>
    <w:p w14:paraId="60E78AA7" w14:textId="77777777" w:rsidR="000A3BDB" w:rsidRPr="00E612D4" w:rsidRDefault="00141E40" w:rsidP="00E612D4">
      <w:pPr>
        <w:pStyle w:val="Default"/>
        <w:widowControl w:val="0"/>
        <w:spacing w:after="120" w:line="276" w:lineRule="auto"/>
        <w:rPr>
          <w:bCs/>
          <w:spacing w:val="20"/>
        </w:rPr>
      </w:pPr>
      <w:r w:rsidRPr="00E612D4">
        <w:rPr>
          <w:spacing w:val="20"/>
        </w:rPr>
        <w:br w:type="page"/>
      </w:r>
      <w:r w:rsidR="000A3BDB" w:rsidRPr="00E612D4">
        <w:rPr>
          <w:bCs/>
          <w:spacing w:val="20"/>
        </w:rPr>
        <w:lastRenderedPageBreak/>
        <w:t>§ 6.</w:t>
      </w:r>
      <w:r w:rsidR="003A48F9" w:rsidRPr="00E612D4">
        <w:rPr>
          <w:bCs/>
          <w:spacing w:val="20"/>
        </w:rPr>
        <w:t xml:space="preserve"> </w:t>
      </w:r>
      <w:r w:rsidR="000A3BDB" w:rsidRPr="00E612D4">
        <w:rPr>
          <w:spacing w:val="20"/>
        </w:rPr>
        <w:t>Dokumentacja, która przed dniem wejścia w życie zarządzenia nie</w:t>
      </w:r>
      <w:r w:rsidR="003D1342" w:rsidRPr="00E612D4">
        <w:rPr>
          <w:spacing w:val="20"/>
        </w:rPr>
        <w:t xml:space="preserve"> </w:t>
      </w:r>
      <w:r w:rsidR="000A3BDB" w:rsidRPr="00E612D4">
        <w:rPr>
          <w:spacing w:val="20"/>
        </w:rPr>
        <w:t>była w</w:t>
      </w:r>
      <w:r w:rsidR="003D1342" w:rsidRPr="00E612D4">
        <w:rPr>
          <w:spacing w:val="20"/>
        </w:rPr>
        <w:t xml:space="preserve"> </w:t>
      </w:r>
      <w:r w:rsidR="000A3BDB" w:rsidRPr="00E612D4">
        <w:rPr>
          <w:spacing w:val="20"/>
        </w:rPr>
        <w:t>podmiocie</w:t>
      </w:r>
      <w:r w:rsidR="000A3BDB" w:rsidRPr="00E612D4">
        <w:rPr>
          <w:b/>
          <w:bCs/>
          <w:i/>
          <w:spacing w:val="20"/>
        </w:rPr>
        <w:t xml:space="preserve"> </w:t>
      </w:r>
      <w:r w:rsidR="000A3BDB" w:rsidRPr="00E612D4">
        <w:rPr>
          <w:spacing w:val="20"/>
        </w:rPr>
        <w:t>kwalifikowana na podstawie obowiązujących wówczas jednolitych rzeczowych wykazów akt, jest kwalifikowana na</w:t>
      </w:r>
      <w:r w:rsidR="003D1342" w:rsidRPr="00E612D4">
        <w:rPr>
          <w:spacing w:val="20"/>
        </w:rPr>
        <w:t xml:space="preserve"> </w:t>
      </w:r>
      <w:r w:rsidR="000A3BDB" w:rsidRPr="00E612D4">
        <w:rPr>
          <w:spacing w:val="20"/>
        </w:rPr>
        <w:t>podstawie jednolitego rzeczowego wykazu akt wprowadzanego niniejszym zarządzeniem</w:t>
      </w:r>
      <w:r w:rsidR="003D1342" w:rsidRPr="00E612D4">
        <w:rPr>
          <w:spacing w:val="20"/>
        </w:rPr>
        <w:t>.</w:t>
      </w:r>
    </w:p>
    <w:p w14:paraId="2DBF0C66" w14:textId="77777777" w:rsidR="003D1342" w:rsidRPr="00E612D4" w:rsidRDefault="000A3BDB" w:rsidP="00E612D4">
      <w:pPr>
        <w:widowControl w:val="0"/>
        <w:spacing w:after="120" w:line="276" w:lineRule="auto"/>
        <w:rPr>
          <w:rFonts w:ascii="Arial" w:hAnsi="Arial" w:cs="Arial"/>
          <w:bCs/>
          <w:iCs/>
          <w:spacing w:val="20"/>
        </w:rPr>
      </w:pPr>
      <w:r w:rsidRPr="00E612D4">
        <w:rPr>
          <w:rFonts w:ascii="Arial" w:hAnsi="Arial" w:cs="Arial"/>
          <w:bCs/>
          <w:spacing w:val="20"/>
        </w:rPr>
        <w:t>§ 7.</w:t>
      </w:r>
      <w:r w:rsidR="003A48F9" w:rsidRPr="00E612D4">
        <w:rPr>
          <w:rFonts w:ascii="Arial" w:hAnsi="Arial" w:cs="Arial"/>
          <w:bCs/>
          <w:spacing w:val="20"/>
        </w:rPr>
        <w:t xml:space="preserve"> </w:t>
      </w:r>
      <w:r w:rsidRPr="00E612D4">
        <w:rPr>
          <w:rFonts w:ascii="Arial" w:hAnsi="Arial" w:cs="Arial"/>
          <w:bCs/>
          <w:spacing w:val="20"/>
        </w:rPr>
        <w:t xml:space="preserve">Tracą moc zarządzenia kierowników podmiotów w sprawie wprowadzenia instrukcji kancelaryjnych, jednolitych rzeczowych wykazów akt oraz instrukcji </w:t>
      </w:r>
      <w:r w:rsidRPr="00E612D4">
        <w:rPr>
          <w:rFonts w:ascii="Arial" w:hAnsi="Arial" w:cs="Arial"/>
          <w:bCs/>
          <w:color w:val="000000"/>
          <w:spacing w:val="20"/>
          <w:lang/>
        </w:rPr>
        <w:t>w sprawie organizacji i</w:t>
      </w:r>
      <w:r w:rsidR="00AB6BE1" w:rsidRPr="00E612D4">
        <w:rPr>
          <w:rFonts w:ascii="Arial" w:hAnsi="Arial" w:cs="Arial"/>
          <w:bCs/>
          <w:color w:val="000000"/>
          <w:spacing w:val="20"/>
          <w:lang/>
        </w:rPr>
        <w:t> </w:t>
      </w:r>
      <w:r w:rsidRPr="00E612D4">
        <w:rPr>
          <w:rFonts w:ascii="Arial" w:hAnsi="Arial" w:cs="Arial"/>
          <w:bCs/>
          <w:color w:val="000000"/>
          <w:spacing w:val="20"/>
          <w:lang/>
        </w:rPr>
        <w:t>zakresu działania składnic akt, obowiązujących w podmiotach przed dniem wejścia w życie zarządzenia</w:t>
      </w:r>
      <w:r w:rsidRPr="00E612D4">
        <w:rPr>
          <w:rFonts w:ascii="Arial" w:hAnsi="Arial" w:cs="Arial"/>
          <w:bCs/>
          <w:i/>
          <w:spacing w:val="20"/>
        </w:rPr>
        <w:t>.</w:t>
      </w:r>
    </w:p>
    <w:p w14:paraId="154B75D5" w14:textId="77777777" w:rsidR="000A3BDB" w:rsidRPr="00E612D4" w:rsidRDefault="000A3BDB" w:rsidP="00E612D4">
      <w:pPr>
        <w:widowControl w:val="0"/>
        <w:spacing w:after="120" w:line="276" w:lineRule="auto"/>
        <w:rPr>
          <w:rFonts w:ascii="Arial" w:hAnsi="Arial" w:cs="Arial"/>
          <w:bCs/>
          <w:spacing w:val="20"/>
        </w:rPr>
      </w:pPr>
      <w:r w:rsidRPr="00E612D4">
        <w:rPr>
          <w:rFonts w:ascii="Arial" w:hAnsi="Arial" w:cs="Arial"/>
          <w:bCs/>
          <w:spacing w:val="20"/>
        </w:rPr>
        <w:t>§ 8.</w:t>
      </w:r>
      <w:r w:rsidR="003A48F9" w:rsidRPr="00E612D4">
        <w:rPr>
          <w:rFonts w:ascii="Arial" w:hAnsi="Arial" w:cs="Arial"/>
          <w:bCs/>
          <w:spacing w:val="20"/>
        </w:rPr>
        <w:t xml:space="preserve"> </w:t>
      </w:r>
      <w:r w:rsidRPr="00E612D4">
        <w:rPr>
          <w:rFonts w:ascii="Arial" w:hAnsi="Arial" w:cs="Arial"/>
          <w:bCs/>
          <w:spacing w:val="20"/>
          <w:kern w:val="0"/>
        </w:rPr>
        <w:t>Wykonanie niniejszego zarządzenia powierza się odpowiednio kierownikom podmiotów.</w:t>
      </w:r>
    </w:p>
    <w:p w14:paraId="0AF41884" w14:textId="77777777" w:rsidR="000A3BDB" w:rsidRPr="00E612D4" w:rsidRDefault="000A3BDB" w:rsidP="00E612D4">
      <w:pPr>
        <w:pStyle w:val="Default"/>
        <w:widowControl w:val="0"/>
        <w:spacing w:after="1800" w:line="276" w:lineRule="auto"/>
        <w:rPr>
          <w:spacing w:val="20"/>
        </w:rPr>
      </w:pPr>
      <w:r w:rsidRPr="00E612D4">
        <w:rPr>
          <w:bCs/>
          <w:color w:val="auto"/>
          <w:spacing w:val="20"/>
        </w:rPr>
        <w:t>§ 9</w:t>
      </w:r>
      <w:r w:rsidR="003D1342" w:rsidRPr="00E612D4">
        <w:rPr>
          <w:bCs/>
          <w:color w:val="auto"/>
          <w:spacing w:val="20"/>
        </w:rPr>
        <w:t>.</w:t>
      </w:r>
      <w:r w:rsidR="003A48F9" w:rsidRPr="00E612D4">
        <w:rPr>
          <w:bCs/>
          <w:color w:val="auto"/>
          <w:spacing w:val="20"/>
        </w:rPr>
        <w:t xml:space="preserve"> </w:t>
      </w:r>
      <w:r w:rsidRPr="00E612D4">
        <w:rPr>
          <w:spacing w:val="20"/>
        </w:rPr>
        <w:t xml:space="preserve">Zarządzenie wchodzi w życie w terminie od dnia 1 stycznia </w:t>
      </w:r>
      <w:r w:rsidR="00E4031F" w:rsidRPr="00E612D4">
        <w:rPr>
          <w:spacing w:val="20"/>
        </w:rPr>
        <w:t xml:space="preserve">2023 </w:t>
      </w:r>
      <w:r w:rsidRPr="00E612D4">
        <w:rPr>
          <w:spacing w:val="20"/>
        </w:rPr>
        <w:t>roku.</w:t>
      </w:r>
    </w:p>
    <w:sectPr w:rsidR="000A3BDB" w:rsidRPr="00E612D4" w:rsidSect="007C6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69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83E6" w14:textId="77777777" w:rsidR="00565912" w:rsidRDefault="00565912" w:rsidP="00F7678A">
      <w:r>
        <w:separator/>
      </w:r>
    </w:p>
  </w:endnote>
  <w:endnote w:type="continuationSeparator" w:id="0">
    <w:p w14:paraId="1C4381DB" w14:textId="77777777" w:rsidR="00565912" w:rsidRDefault="00565912" w:rsidP="00F7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67D1" w14:textId="77777777" w:rsidR="001F6F21" w:rsidRDefault="001F6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C6BA" w14:textId="77777777" w:rsidR="001F6F21" w:rsidRDefault="001F6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0691" w14:textId="77777777" w:rsidR="001F6F21" w:rsidRDefault="001F6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D89B" w14:textId="77777777" w:rsidR="00565912" w:rsidRDefault="00565912" w:rsidP="00F7678A">
      <w:r>
        <w:separator/>
      </w:r>
    </w:p>
  </w:footnote>
  <w:footnote w:type="continuationSeparator" w:id="0">
    <w:p w14:paraId="5CC2381B" w14:textId="77777777" w:rsidR="00565912" w:rsidRDefault="00565912" w:rsidP="00F7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3CB9" w14:textId="77777777" w:rsidR="001F6F21" w:rsidRDefault="001F6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29D5" w14:textId="439E9213" w:rsidR="007C63F7" w:rsidRPr="001F6F21" w:rsidRDefault="007C63F7" w:rsidP="001F6F21">
    <w:pPr>
      <w:pStyle w:val="Nagwek"/>
      <w:tabs>
        <w:tab w:val="clear" w:pos="4536"/>
        <w:tab w:val="clear" w:pos="9072"/>
        <w:tab w:val="left" w:pos="2604"/>
      </w:tabs>
      <w:spacing w:line="276" w:lineRule="auto"/>
      <w:rPr>
        <w:rFonts w:ascii="Arial" w:hAnsi="Arial" w:cs="Arial"/>
        <w:spacing w:val="20"/>
      </w:rPr>
    </w:pPr>
    <w:r w:rsidRPr="001F6F21">
      <w:rPr>
        <w:rFonts w:ascii="Arial" w:hAnsi="Arial" w:cs="Arial"/>
        <w:spacing w:val="20"/>
      </w:rPr>
      <w:t>ORG.160.1.2022.MR</w:t>
    </w:r>
    <w:r w:rsidR="001F6F21" w:rsidRPr="001F6F21">
      <w:rPr>
        <w:rFonts w:ascii="Arial" w:hAnsi="Arial" w:cs="Arial"/>
        <w:spacing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0A33" w14:textId="77777777" w:rsidR="001F6F21" w:rsidRDefault="001F6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color w:val="000000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b/>
        <w:i w:val="0"/>
      </w:rPr>
    </w:lvl>
    <w:lvl w:ilvl="2">
      <w:start w:val="2"/>
      <w:numFmt w:val="decimal"/>
      <w:lvlText w:val="%3."/>
      <w:lvlJc w:val="left"/>
      <w:pPr>
        <w:tabs>
          <w:tab w:val="num" w:pos="510"/>
        </w:tabs>
        <w:ind w:left="227" w:firstLine="0"/>
      </w:pPr>
    </w:lvl>
    <w:lvl w:ilvl="3">
      <w:start w:val="1"/>
      <w:numFmt w:val="decimal"/>
      <w:lvlText w:val="%4)"/>
      <w:lvlJc w:val="left"/>
      <w:pPr>
        <w:tabs>
          <w:tab w:val="num" w:pos="142"/>
        </w:tabs>
        <w:ind w:left="539" w:hanging="397"/>
      </w:p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</w:lvl>
  </w:abstractNum>
  <w:num w:numId="1" w16cid:durableId="1323698552">
    <w:abstractNumId w:val="0"/>
  </w:num>
  <w:num w:numId="2" w16cid:durableId="1754470842">
    <w:abstractNumId w:val="1"/>
  </w:num>
  <w:num w:numId="3" w16cid:durableId="94838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32"/>
    <w:rsid w:val="00095C06"/>
    <w:rsid w:val="000A3BDB"/>
    <w:rsid w:val="00141E40"/>
    <w:rsid w:val="001467B9"/>
    <w:rsid w:val="001856A2"/>
    <w:rsid w:val="001F6F21"/>
    <w:rsid w:val="00210AB2"/>
    <w:rsid w:val="0025351A"/>
    <w:rsid w:val="002808AE"/>
    <w:rsid w:val="00285EFD"/>
    <w:rsid w:val="002A39B2"/>
    <w:rsid w:val="003A48F9"/>
    <w:rsid w:val="003C738A"/>
    <w:rsid w:val="003D1342"/>
    <w:rsid w:val="00423E62"/>
    <w:rsid w:val="0043285A"/>
    <w:rsid w:val="00462F69"/>
    <w:rsid w:val="00494968"/>
    <w:rsid w:val="004D0318"/>
    <w:rsid w:val="004E7E1E"/>
    <w:rsid w:val="00543D09"/>
    <w:rsid w:val="00565912"/>
    <w:rsid w:val="006444ED"/>
    <w:rsid w:val="00671C13"/>
    <w:rsid w:val="00694762"/>
    <w:rsid w:val="006A5184"/>
    <w:rsid w:val="006D6D0F"/>
    <w:rsid w:val="00747894"/>
    <w:rsid w:val="00767532"/>
    <w:rsid w:val="00774F6E"/>
    <w:rsid w:val="007C63F7"/>
    <w:rsid w:val="008528DF"/>
    <w:rsid w:val="008F7251"/>
    <w:rsid w:val="00936F86"/>
    <w:rsid w:val="00937BD9"/>
    <w:rsid w:val="009F68B2"/>
    <w:rsid w:val="00A54FF2"/>
    <w:rsid w:val="00AB6BE1"/>
    <w:rsid w:val="00AE086D"/>
    <w:rsid w:val="00B01AA1"/>
    <w:rsid w:val="00B06BF2"/>
    <w:rsid w:val="00BB09EF"/>
    <w:rsid w:val="00C5155E"/>
    <w:rsid w:val="00D6585C"/>
    <w:rsid w:val="00D82F65"/>
    <w:rsid w:val="00DE57E5"/>
    <w:rsid w:val="00DE77EF"/>
    <w:rsid w:val="00E4031F"/>
    <w:rsid w:val="00E612D4"/>
    <w:rsid w:val="00EA3C35"/>
    <w:rsid w:val="00EB77B0"/>
    <w:rsid w:val="00F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9EFA91"/>
  <w15:chartTrackingRefBased/>
  <w15:docId w15:val="{58925E7A-2F43-4646-AB49-7130F689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lang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29">
    <w:name w:val="Font Style29"/>
    <w:rPr>
      <w:rFonts w:ascii="Arial" w:hAnsi="Arial" w:cs="Arial"/>
      <w:sz w:val="20"/>
      <w:szCs w:val="20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WW8Num12z0">
    <w:name w:val="WW8Num12z0"/>
    <w:rPr>
      <w:rFonts w:ascii="Palatino Linotype" w:hAnsi="Palatino Linotype" w:cs="Palatino Linotype"/>
      <w:sz w:val="24"/>
      <w:szCs w:val="24"/>
    </w:rPr>
  </w:style>
  <w:style w:type="character" w:customStyle="1" w:styleId="WW8Num13z0">
    <w:name w:val="WW8Num13z0"/>
    <w:rPr>
      <w:b/>
      <w:i w:val="0"/>
    </w:rPr>
  </w:style>
  <w:style w:type="character" w:customStyle="1" w:styleId="WW8Num13z2">
    <w:name w:val="WW8Num13z2"/>
  </w:style>
  <w:style w:type="character" w:customStyle="1" w:styleId="WW8Num14z0">
    <w:name w:val="WW8Num14z0"/>
    <w:rPr>
      <w:rFonts w:ascii="Palatino Linotype" w:hAnsi="Palatino Linotype" w:cs="Palatino Linotype"/>
      <w:sz w:val="24"/>
      <w:szCs w:val="24"/>
    </w:rPr>
  </w:style>
  <w:style w:type="character" w:customStyle="1" w:styleId="WW8Num15z0">
    <w:name w:val="WW8Num15z0"/>
    <w:rPr>
      <w:rFonts w:ascii="Palatino Linotype" w:hAnsi="Palatino Linotype" w:cs="Calibri"/>
      <w:sz w:val="24"/>
      <w:szCs w:val="24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Palatino Linotype" w:hAnsi="Palatino Linotype" w:cs="Arial"/>
      <w:b w:val="0"/>
      <w:color w:val="000000"/>
      <w:sz w:val="24"/>
      <w:szCs w:val="24"/>
    </w:rPr>
  </w:style>
  <w:style w:type="character" w:customStyle="1" w:styleId="WW8Num19z0">
    <w:name w:val="WW8Num19z0"/>
    <w:rPr>
      <w:rFonts w:ascii="Palatino Linotype" w:hAnsi="Palatino Linotype" w:cs="Palatino Linotype"/>
      <w:sz w:val="24"/>
      <w:szCs w:val="24"/>
    </w:rPr>
  </w:style>
  <w:style w:type="character" w:customStyle="1" w:styleId="WW8Num20z0">
    <w:name w:val="WW8Num20z0"/>
    <w:rPr>
      <w:rFonts w:ascii="Palatino Linotype" w:hAnsi="Palatino Linotype" w:cs="TimesNewRoman"/>
      <w:sz w:val="24"/>
      <w:szCs w:val="24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cs="Palatino Linotype"/>
      <w:b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  <w:rPr>
      <w:rFonts w:ascii="Palatino Linotype" w:hAnsi="Palatino Linotype" w:cs="Palatino Linotype"/>
      <w:sz w:val="24"/>
      <w:szCs w:val="24"/>
    </w:rPr>
  </w:style>
  <w:style w:type="character" w:customStyle="1" w:styleId="WW8Num26z0">
    <w:name w:val="WW8Num26z0"/>
    <w:rPr>
      <w:rFonts w:ascii="Palatino Linotype" w:hAnsi="Palatino Linotype" w:cs="Times New Roman"/>
      <w:i w:val="0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ascii="Palatino Linotype" w:hAnsi="Palatino Linotype" w:cs="Palatino Linotype"/>
      <w:b w:val="0"/>
      <w:sz w:val="24"/>
      <w:szCs w:val="24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Palatino Linotype" w:hAnsi="Palatino Linotype" w:cs="Times New Roman"/>
      <w:i w:val="0"/>
      <w:color w:val="000000"/>
      <w:sz w:val="24"/>
      <w:szCs w:val="24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Palatino Linotype" w:hAnsi="Palatino Linotype" w:cs="Palatino Linotype"/>
      <w:sz w:val="24"/>
      <w:szCs w:val="24"/>
    </w:rPr>
  </w:style>
  <w:style w:type="character" w:customStyle="1" w:styleId="WW8Num34z0">
    <w:name w:val="WW8Num34z0"/>
    <w:rPr>
      <w:rFonts w:ascii="Palatino Linotype" w:hAnsi="Palatino Linotype" w:cs="Palatino Linotype"/>
      <w:sz w:val="24"/>
      <w:szCs w:val="24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Palatino Linotype" w:hAnsi="Palatino Linotype" w:cs="Palatino Linotype"/>
      <w:sz w:val="24"/>
      <w:szCs w:val="24"/>
    </w:rPr>
  </w:style>
  <w:style w:type="character" w:customStyle="1" w:styleId="WW8Num37z0">
    <w:name w:val="WW8Num37z0"/>
    <w:rPr>
      <w:rFonts w:ascii="Palatino Linotype" w:hAnsi="Palatino Linotype" w:cs="Palatino Linotype"/>
      <w:sz w:val="24"/>
      <w:szCs w:val="24"/>
    </w:rPr>
  </w:style>
  <w:style w:type="character" w:customStyle="1" w:styleId="WW8Num38z0">
    <w:name w:val="WW8Num38z0"/>
    <w:rPr>
      <w:rFonts w:ascii="Palatino Linotype" w:hAnsi="Palatino Linotype" w:cs="Palatino Linotype"/>
      <w:sz w:val="24"/>
      <w:szCs w:val="24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Palatino Linotype" w:hAnsi="Palatino Linotype" w:cs="Palatino Linotype"/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Palatino Linotype" w:hAnsi="Palatino Linotype" w:cs="Palatino Linotype"/>
      <w:sz w:val="24"/>
      <w:szCs w:val="24"/>
    </w:rPr>
  </w:style>
  <w:style w:type="character" w:customStyle="1" w:styleId="WW8Num44z0">
    <w:name w:val="WW8Num44z0"/>
    <w:rPr>
      <w:rFonts w:ascii="Palatino Linotype" w:hAnsi="Palatino Linotype" w:cs="Palatino Linotype"/>
      <w:b w:val="0"/>
      <w:sz w:val="24"/>
      <w:szCs w:val="24"/>
    </w:rPr>
  </w:style>
  <w:style w:type="character" w:customStyle="1" w:styleId="WW8Num45z0">
    <w:name w:val="WW8Num45z0"/>
    <w:rPr>
      <w:rFonts w:ascii="Palatino Linotype" w:hAnsi="Palatino Linotype" w:cs="Palatino Linotype"/>
      <w:sz w:val="24"/>
      <w:szCs w:val="24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Palatino Linotype" w:hAnsi="Palatino Linotype" w:cs="Palatino Linotype"/>
      <w:sz w:val="24"/>
      <w:szCs w:val="24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Palatino Linotype" w:hAnsi="Palatino Linotype" w:cs="TimesNewRoman"/>
      <w:sz w:val="24"/>
      <w:szCs w:val="24"/>
    </w:rPr>
  </w:style>
  <w:style w:type="character" w:customStyle="1" w:styleId="WW8Num50z0">
    <w:name w:val="WW8Num50z0"/>
    <w:rPr>
      <w:rFonts w:ascii="Palatino Linotype" w:hAnsi="Palatino Linotype" w:cs="Palatino Linotype"/>
      <w:sz w:val="24"/>
      <w:szCs w:val="24"/>
    </w:rPr>
  </w:style>
  <w:style w:type="character" w:customStyle="1" w:styleId="WW8Num51z0">
    <w:name w:val="WW8Num51z0"/>
    <w:rPr>
      <w:rFonts w:ascii="Times New Roman" w:hAnsi="Times New Roman" w:cs="Times New Roman"/>
      <w:b w:val="0"/>
      <w:i w:val="0"/>
      <w:sz w:val="24"/>
    </w:rPr>
  </w:style>
  <w:style w:type="character" w:customStyle="1" w:styleId="WW8Num52z0">
    <w:name w:val="WW8Num52z0"/>
    <w:rPr>
      <w:rFonts w:ascii="Palatino Linotype" w:hAnsi="Palatino Linotype" w:cs="Palatino Linotype"/>
      <w:sz w:val="24"/>
      <w:szCs w:val="24"/>
    </w:rPr>
  </w:style>
  <w:style w:type="character" w:customStyle="1" w:styleId="WW8Num53z0">
    <w:name w:val="WW8Num53z0"/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  <w:rPr>
      <w:rFonts w:ascii="Palatino Linotype" w:hAnsi="Palatino Linotype" w:cs="Palatino Linotype"/>
      <w:sz w:val="24"/>
      <w:szCs w:val="24"/>
    </w:rPr>
  </w:style>
  <w:style w:type="character" w:customStyle="1" w:styleId="WW8Num58z0">
    <w:name w:val="WW8Num58z0"/>
  </w:style>
  <w:style w:type="character" w:customStyle="1" w:styleId="WW8Num59z0">
    <w:name w:val="WW8Num59z0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</w:style>
  <w:style w:type="character" w:customStyle="1" w:styleId="WW8Num61z0">
    <w:name w:val="WW8Num61z0"/>
  </w:style>
  <w:style w:type="character" w:customStyle="1" w:styleId="WW8Num62z0">
    <w:name w:val="WW8Num6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3z0">
    <w:name w:val="WW8Num63z0"/>
    <w:rPr>
      <w:rFonts w:ascii="Palatino Linotype" w:hAnsi="Palatino Linotype" w:cs="Palatino Linotype"/>
      <w:sz w:val="24"/>
      <w:szCs w:val="24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Palatino Linotype" w:hAnsi="Palatino Linotype" w:cs="Times New Roman"/>
      <w:sz w:val="24"/>
      <w:szCs w:val="24"/>
    </w:rPr>
  </w:style>
  <w:style w:type="character" w:customStyle="1" w:styleId="WW8Num66z0">
    <w:name w:val="WW8Num66z0"/>
    <w:rPr>
      <w:rFonts w:ascii="Palatino Linotype" w:hAnsi="Palatino Linotype" w:cs="Times New Roman"/>
      <w:sz w:val="24"/>
      <w:szCs w:val="24"/>
    </w:rPr>
  </w:style>
  <w:style w:type="character" w:customStyle="1" w:styleId="WW8Num67z0">
    <w:name w:val="WW8Num67z0"/>
  </w:style>
  <w:style w:type="character" w:customStyle="1" w:styleId="WW8Num68z0">
    <w:name w:val="WW8Num68z0"/>
    <w:rPr>
      <w:rFonts w:ascii="Palatino Linotype" w:hAnsi="Palatino Linotype" w:cs="Palatino Linotype"/>
      <w:sz w:val="24"/>
      <w:szCs w:val="24"/>
    </w:rPr>
  </w:style>
  <w:style w:type="character" w:customStyle="1" w:styleId="WW8Num69z0">
    <w:name w:val="WW8Num69z0"/>
    <w:rPr>
      <w:b w:val="0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1z0">
    <w:name w:val="WW8Num71z0"/>
  </w:style>
  <w:style w:type="character" w:customStyle="1" w:styleId="WW8Num72z0">
    <w:name w:val="WW8Num72z0"/>
    <w:rPr>
      <w:b w:val="0"/>
    </w:rPr>
  </w:style>
  <w:style w:type="character" w:customStyle="1" w:styleId="WW8Num73z0">
    <w:name w:val="WW8Num73z0"/>
    <w:rPr>
      <w:rFonts w:ascii="Palatino Linotype" w:hAnsi="Palatino Linotype" w:cs="Palatino Linotype"/>
      <w:sz w:val="22"/>
      <w:szCs w:val="22"/>
    </w:rPr>
  </w:style>
  <w:style w:type="character" w:customStyle="1" w:styleId="WW8Num74z0">
    <w:name w:val="WW8Num74z0"/>
    <w:rPr>
      <w:rFonts w:ascii="Palatino Linotype" w:hAnsi="Palatino Linotype" w:cs="Palatino Linotype"/>
      <w:sz w:val="24"/>
      <w:szCs w:val="24"/>
    </w:rPr>
  </w:style>
  <w:style w:type="character" w:customStyle="1" w:styleId="WW8Num75z0">
    <w:name w:val="WW8Num75z0"/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WW8Num76z0">
    <w:name w:val="WW8Num76z0"/>
  </w:style>
  <w:style w:type="character" w:customStyle="1" w:styleId="WW8Num77z0">
    <w:name w:val="WW8Num77z0"/>
    <w:rPr>
      <w:rFonts w:ascii="Palatino Linotype" w:hAnsi="Palatino Linotype" w:cs="Palatino Linotype"/>
      <w:b w:val="0"/>
      <w:sz w:val="24"/>
      <w:szCs w:val="24"/>
    </w:rPr>
  </w:style>
  <w:style w:type="character" w:customStyle="1" w:styleId="WW8Num78z0">
    <w:name w:val="WW8Num78z0"/>
    <w:rPr>
      <w:rFonts w:cs="Palatino Linotype"/>
      <w:b w:val="0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ascii="Palatino Linotype" w:hAnsi="Palatino Linotype" w:cs="Palatino Linotype"/>
      <w:sz w:val="24"/>
      <w:szCs w:val="24"/>
    </w:rPr>
  </w:style>
  <w:style w:type="character" w:customStyle="1" w:styleId="WW8Num81z0">
    <w:name w:val="WW8Num81z0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b/>
      <w:i w:val="0"/>
    </w:rPr>
  </w:style>
  <w:style w:type="character" w:customStyle="1" w:styleId="WW8Num83z2">
    <w:name w:val="WW8Num83z2"/>
  </w:style>
  <w:style w:type="character" w:customStyle="1" w:styleId="WW8Num84z0">
    <w:name w:val="WW8Num84z0"/>
    <w:rPr>
      <w:b/>
      <w:i w:val="0"/>
    </w:rPr>
  </w:style>
  <w:style w:type="character" w:customStyle="1" w:styleId="WW8Num84z2">
    <w:name w:val="WW8Num84z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Palatino Linotype" w:hAnsi="Palatino Linotype" w:cs="Palatino Linotype"/>
      <w:b w:val="0"/>
      <w:i w:val="0"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cs="Times New Roman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cs="Times New Roman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3z1">
    <w:name w:val="WW8Num83z1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Palatino Linotype" w:hAnsi="Palatino Linotype" w:cs="Palatino Linotype"/>
      <w:sz w:val="24"/>
      <w:szCs w:val="24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styleId="Hipercze">
    <w:name w:val="Hyperlink"/>
    <w:rPr>
      <w:color w:val="0000FF"/>
      <w:u w:val="single"/>
    </w:rPr>
  </w:style>
  <w:style w:type="character" w:customStyle="1" w:styleId="FontStyle51">
    <w:name w:val="Font Style51"/>
    <w:rPr>
      <w:rFonts w:ascii="Times New Roman" w:hAnsi="Times New Roman" w:cs="Times New Roman"/>
      <w:sz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ParagrafkolejneustepyZnak">
    <w:name w:val="Paragraf kolejne ustepy Znak"/>
    <w:rPr>
      <w:sz w:val="24"/>
      <w:szCs w:val="24"/>
    </w:rPr>
  </w:style>
  <w:style w:type="character" w:customStyle="1" w:styleId="BodyTextIndentChar">
    <w:name w:val="Body Text Indent Char"/>
    <w:rPr>
      <w:rFonts w:cs="Times New Roman"/>
      <w:lang w:val="x-none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spacing w:line="360" w:lineRule="auto"/>
      <w:ind w:left="284" w:hanging="284"/>
      <w:jc w:val="both"/>
    </w:pPr>
    <w:rPr>
      <w:rFonts w:ascii="Arial" w:hAnsi="Arial" w:cs="Arial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Style16">
    <w:name w:val="Style16"/>
    <w:basedOn w:val="Normalny"/>
    <w:pPr>
      <w:widowControl w:val="0"/>
      <w:autoSpaceDE w:val="0"/>
      <w:spacing w:line="394" w:lineRule="exact"/>
      <w:ind w:hanging="355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Mapadokumentu2">
    <w:name w:val="Mapa dokumentu2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kern w:val="2"/>
      <w:sz w:val="24"/>
      <w:lang w:eastAsia="zh-CN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Tekstpodstawowywcity21">
    <w:name w:val="Tekst podstawowy wcięty 21"/>
    <w:basedOn w:val="Normalny"/>
    <w:rPr>
      <w:rFonts w:ascii="Palatino Linotype" w:hAnsi="Palatino Linotype" w:cs="Palatino Linotype"/>
      <w:b/>
      <w:sz w:val="22"/>
      <w:szCs w:val="22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yle1">
    <w:name w:val="Style1"/>
    <w:basedOn w:val="Normalny"/>
    <w:pPr>
      <w:widowControl w:val="0"/>
      <w:autoSpaceDE w:val="0"/>
      <w:spacing w:before="60" w:line="283" w:lineRule="exact"/>
      <w:jc w:val="both"/>
    </w:pPr>
    <w:rPr>
      <w:rFonts w:eastAsia="Calibri"/>
    </w:rPr>
  </w:style>
  <w:style w:type="paragraph" w:customStyle="1" w:styleId="ListParagraph">
    <w:name w:val="List Paragraph"/>
    <w:basedOn w:val="Normalny"/>
    <w:pPr>
      <w:spacing w:before="60" w:after="200" w:line="276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styleId="Poprawka">
    <w:name w:val="Revision"/>
    <w:pPr>
      <w:suppressAutoHyphens/>
    </w:pPr>
    <w:rPr>
      <w:kern w:val="2"/>
      <w:lang w:eastAsia="zh-CN"/>
    </w:rPr>
  </w:style>
  <w:style w:type="paragraph" w:styleId="Spistreci1">
    <w:name w:val="toc 1"/>
    <w:basedOn w:val="Normalny"/>
    <w:next w:val="Normalny"/>
    <w:pPr>
      <w:spacing w:before="120" w:after="120"/>
    </w:pPr>
    <w:rPr>
      <w:rFonts w:ascii="Calibri" w:hAnsi="Calibri" w:cs="Calibri"/>
      <w:b/>
      <w:bCs/>
      <w:caps/>
    </w:rPr>
  </w:style>
  <w:style w:type="paragraph" w:styleId="Spistreci2">
    <w:name w:val="toc 2"/>
    <w:basedOn w:val="Normalny"/>
    <w:next w:val="Normalny"/>
    <w:pPr>
      <w:ind w:left="200"/>
    </w:pPr>
    <w:rPr>
      <w:rFonts w:ascii="Calibri" w:hAnsi="Calibri" w:cs="Calibri"/>
      <w:smallCaps/>
    </w:rPr>
  </w:style>
  <w:style w:type="paragraph" w:styleId="Spistreci3">
    <w:name w:val="toc 3"/>
    <w:basedOn w:val="Normalny"/>
    <w:next w:val="Normalny"/>
    <w:pPr>
      <w:ind w:left="400"/>
    </w:pPr>
    <w:rPr>
      <w:rFonts w:ascii="Calibri" w:hAnsi="Calibri" w:cs="Calibri"/>
      <w:i/>
      <w:iCs/>
    </w:rPr>
  </w:style>
  <w:style w:type="paragraph" w:styleId="Spistreci4">
    <w:name w:val="toc 4"/>
    <w:basedOn w:val="Normalny"/>
    <w:next w:val="Normalny"/>
    <w:pPr>
      <w:ind w:left="60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80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0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40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600"/>
    </w:pPr>
    <w:rPr>
      <w:rFonts w:ascii="Calibri" w:hAnsi="Calibri" w:cs="Calibri"/>
      <w:sz w:val="18"/>
      <w:szCs w:val="18"/>
    </w:rPr>
  </w:style>
  <w:style w:type="paragraph" w:customStyle="1" w:styleId="Nagwekwykazurde1">
    <w:name w:val="Nagłówek wykazu źródeł1"/>
    <w:basedOn w:val="Nagwek1"/>
    <w:next w:val="Normalny"/>
    <w:pPr>
      <w:keepLines/>
      <w:numPr>
        <w:numId w:val="0"/>
      </w:numPr>
      <w:spacing w:before="480" w:after="0" w:line="276" w:lineRule="auto"/>
    </w:pPr>
    <w:rPr>
      <w:rFonts w:cs="Times New Roman"/>
      <w:color w:val="365F91"/>
      <w:kern w:val="0"/>
      <w:sz w:val="28"/>
      <w:szCs w:val="28"/>
    </w:rPr>
  </w:style>
  <w:style w:type="paragraph" w:styleId="Indeks1">
    <w:name w:val="index 1"/>
    <w:basedOn w:val="Normalny"/>
    <w:next w:val="Normalny"/>
    <w:pPr>
      <w:ind w:left="200" w:hanging="200"/>
    </w:pPr>
  </w:style>
  <w:style w:type="paragraph" w:customStyle="1" w:styleId="Paragrafkolejneustepy">
    <w:name w:val="Paragraf kolejne ustepy"/>
    <w:basedOn w:val="Normalny"/>
    <w:pPr>
      <w:numPr>
        <w:numId w:val="3"/>
      </w:numPr>
      <w:spacing w:before="120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284" w:hanging="284"/>
      <w:jc w:val="both"/>
    </w:pPr>
    <w:rPr>
      <w:rFonts w:ascii="Arial" w:hAnsi="Arial" w:cs="Arial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strony">
    <w:name w:val="Nagłówek strony"/>
    <w:pPr>
      <w:tabs>
        <w:tab w:val="center" w:pos="4536"/>
        <w:tab w:val="right" w:pos="9072"/>
      </w:tabs>
      <w:suppressAutoHyphens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205C-D906-4635-B5E6-8F0D9437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Maciej Rogalski</dc:creator>
  <cp:keywords/>
  <cp:lastModifiedBy>Roman Zygner</cp:lastModifiedBy>
  <cp:revision>5</cp:revision>
  <cp:lastPrinted>2022-12-02T10:59:00Z</cp:lastPrinted>
  <dcterms:created xsi:type="dcterms:W3CDTF">2022-12-12T08:34:00Z</dcterms:created>
  <dcterms:modified xsi:type="dcterms:W3CDTF">2022-12-12T08:59:00Z</dcterms:modified>
</cp:coreProperties>
</file>