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74"/>
      </w:pPr>
      <w:r>
        <w:rPr/>
        <w:t>Plan dochodów związanych z realizacją zadań z zakresu administracji rządowej i innych zleconych odrębnymi ustawami na rok 2022</w:t>
      </w:r>
    </w:p>
    <w:p>
      <w:pPr>
        <w:spacing w:line="240" w:lineRule="auto" w:before="0"/>
        <w:rPr>
          <w:b/>
          <w:sz w:val="22"/>
        </w:rPr>
      </w:pPr>
    </w:p>
    <w:p>
      <w:pPr>
        <w:spacing w:before="169"/>
        <w:ind w:left="174" w:right="0" w:firstLine="0"/>
        <w:jc w:val="left"/>
        <w:rPr>
          <w:sz w:val="20"/>
        </w:rPr>
      </w:pPr>
      <w:r>
        <w:rPr>
          <w:sz w:val="20"/>
        </w:rPr>
        <w:t>Załącznik Nr 3 do Zarządzenia Nr 205/2022 Burmistrza Miasta Mława z dnia 31 października 2022 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7" w:hRule="atLeast"/>
        </w:trPr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35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375 390,00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34 773,45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410 163,45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375 390,00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34 773,45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410 163,45</w:t>
            </w:r>
          </w:p>
        </w:tc>
      </w:tr>
      <w:tr>
        <w:trPr>
          <w:trHeight w:val="822" w:hRule="atLeast"/>
        </w:trPr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7" w:lineRule="auto" w:before="24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375 390,00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34 773,45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410 163,45</w:t>
            </w:r>
          </w:p>
        </w:tc>
      </w:tr>
      <w:tr>
        <w:trPr>
          <w:trHeight w:val="249" w:hRule="atLeast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32 191 165,62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34 773,45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32 225 939,07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17"/>
        </w:rPr>
      </w:pPr>
    </w:p>
    <w:p>
      <w:pPr>
        <w:spacing w:before="1"/>
        <w:ind w:left="0" w:right="213" w:firstLine="0"/>
        <w:jc w:val="right"/>
        <w:rPr>
          <w:sz w:val="20"/>
        </w:rPr>
      </w:pPr>
      <w:r>
        <w:rPr>
          <w:sz w:val="20"/>
        </w:rPr>
        <w:t>Strona 1 z 1</w:t>
      </w:r>
    </w:p>
    <w:sectPr>
      <w:type w:val="continuous"/>
      <w:pgSz w:w="16850" w:h="11910" w:orient="landscape"/>
      <w:pgMar w:top="540" w:bottom="280" w:left="8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2022-11-07T12:35:34Z</dcterms:created>
  <dcterms:modified xsi:type="dcterms:W3CDTF">2022-11-07T12:35:34Z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2022-11-07T00:00:00Z</vt:filetime>
  </property>
</Properties>
</file>