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936B" w14:textId="77777777" w:rsidR="00306C8D" w:rsidRPr="001D15DB" w:rsidRDefault="00306C8D" w:rsidP="001D15DB">
      <w:pPr>
        <w:spacing w:after="0" w:line="276" w:lineRule="auto"/>
        <w:rPr>
          <w:rFonts w:eastAsia="Times New Roman" w:cstheme="minorHAnsi"/>
          <w:sz w:val="24"/>
          <w:szCs w:val="24"/>
        </w:rPr>
      </w:pPr>
      <w:r w:rsidRPr="001D15DB">
        <w:rPr>
          <w:rFonts w:eastAsia="Times New Roman" w:cstheme="minorHAnsi"/>
          <w:sz w:val="24"/>
          <w:szCs w:val="24"/>
        </w:rPr>
        <w:t>Za</w:t>
      </w:r>
      <w:bookmarkStart w:id="0" w:name="_Hlk72502883"/>
      <w:r w:rsidRPr="001D15DB">
        <w:rPr>
          <w:rFonts w:eastAsia="Times New Roman" w:cstheme="minorHAnsi"/>
          <w:sz w:val="24"/>
          <w:szCs w:val="24"/>
        </w:rPr>
        <w:t>łącznik nr 1 do Zarządzenia Nr 104/2021</w:t>
      </w:r>
    </w:p>
    <w:p w14:paraId="3B3A3FBF" w14:textId="77777777" w:rsidR="00306C8D" w:rsidRPr="001D15DB" w:rsidRDefault="00306C8D" w:rsidP="001D15DB">
      <w:pPr>
        <w:spacing w:after="0" w:line="276" w:lineRule="auto"/>
        <w:rPr>
          <w:rFonts w:eastAsia="Times New Roman" w:cstheme="minorHAnsi"/>
          <w:sz w:val="24"/>
          <w:szCs w:val="24"/>
        </w:rPr>
      </w:pPr>
      <w:r w:rsidRPr="001D15DB">
        <w:rPr>
          <w:rFonts w:eastAsia="Times New Roman" w:cstheme="minorHAnsi"/>
          <w:sz w:val="24"/>
          <w:szCs w:val="24"/>
        </w:rPr>
        <w:t>Burmistrza Miasta Mława</w:t>
      </w:r>
    </w:p>
    <w:p w14:paraId="44AC4DFD" w14:textId="77777777" w:rsidR="00306C8D" w:rsidRPr="001D15DB" w:rsidRDefault="00306C8D" w:rsidP="001D15DB">
      <w:pPr>
        <w:spacing w:after="0" w:line="276" w:lineRule="auto"/>
        <w:rPr>
          <w:rFonts w:eastAsia="Times New Roman" w:cstheme="minorHAnsi"/>
          <w:sz w:val="24"/>
          <w:szCs w:val="24"/>
        </w:rPr>
      </w:pPr>
      <w:r w:rsidRPr="001D15DB">
        <w:rPr>
          <w:rFonts w:eastAsia="Times New Roman" w:cstheme="minorHAnsi"/>
          <w:sz w:val="24"/>
          <w:szCs w:val="24"/>
        </w:rPr>
        <w:t>z dnia 25 czerwca 2021 r.</w:t>
      </w:r>
    </w:p>
    <w:p w14:paraId="2138C751" w14:textId="77777777" w:rsidR="00306C8D" w:rsidRPr="001D15DB" w:rsidRDefault="00306C8D" w:rsidP="001D15DB">
      <w:pPr>
        <w:spacing w:after="0" w:line="276" w:lineRule="auto"/>
        <w:rPr>
          <w:rFonts w:eastAsia="Times New Roman" w:cstheme="minorHAnsi"/>
          <w:sz w:val="24"/>
          <w:szCs w:val="24"/>
        </w:rPr>
      </w:pPr>
    </w:p>
    <w:p w14:paraId="1A433131" w14:textId="77777777" w:rsidR="00306C8D" w:rsidRPr="001D15DB" w:rsidRDefault="00306C8D" w:rsidP="001D15DB">
      <w:pPr>
        <w:pStyle w:val="Tytu"/>
        <w:rPr>
          <w:rFonts w:asciiTheme="minorHAnsi" w:eastAsia="Times New Roman" w:hAnsiTheme="minorHAnsi" w:cstheme="minorHAnsi"/>
          <w:sz w:val="24"/>
          <w:szCs w:val="24"/>
        </w:rPr>
      </w:pPr>
      <w:r w:rsidRPr="001D15DB">
        <w:rPr>
          <w:rFonts w:asciiTheme="minorHAnsi" w:eastAsia="Times New Roman" w:hAnsiTheme="minorHAnsi" w:cstheme="minorHAnsi"/>
          <w:sz w:val="24"/>
          <w:szCs w:val="24"/>
        </w:rPr>
        <w:t>REGULAMIN</w:t>
      </w:r>
    </w:p>
    <w:p w14:paraId="1EC2D236" w14:textId="77777777" w:rsidR="00306C8D" w:rsidRPr="001D15DB" w:rsidRDefault="00306C8D" w:rsidP="001D15DB">
      <w:pPr>
        <w:pStyle w:val="Tytu"/>
        <w:rPr>
          <w:rFonts w:asciiTheme="minorHAnsi" w:eastAsia="Times New Roman" w:hAnsiTheme="minorHAnsi" w:cstheme="minorHAnsi"/>
          <w:sz w:val="24"/>
          <w:szCs w:val="24"/>
        </w:rPr>
      </w:pPr>
      <w:r w:rsidRPr="001D15DB">
        <w:rPr>
          <w:rFonts w:asciiTheme="minorHAnsi" w:eastAsia="Times New Roman" w:hAnsiTheme="minorHAnsi" w:cstheme="minorHAnsi"/>
          <w:sz w:val="24"/>
          <w:szCs w:val="24"/>
        </w:rPr>
        <w:t xml:space="preserve">Gospodarowania Zakładowym Funduszem Świadczeń Socjalnych </w:t>
      </w:r>
    </w:p>
    <w:p w14:paraId="322E467A" w14:textId="2CF885A5" w:rsidR="00306C8D" w:rsidRPr="001D15DB" w:rsidRDefault="00306C8D" w:rsidP="001D15DB">
      <w:pPr>
        <w:spacing w:after="0" w:line="276" w:lineRule="auto"/>
        <w:rPr>
          <w:rFonts w:eastAsia="Times New Roman" w:cstheme="minorHAnsi"/>
          <w:b/>
          <w:bCs/>
          <w:sz w:val="24"/>
          <w:szCs w:val="24"/>
        </w:rPr>
      </w:pPr>
      <w:r w:rsidRPr="001D15DB">
        <w:rPr>
          <w:rFonts w:eastAsia="Times New Roman" w:cstheme="minorHAnsi"/>
          <w:b/>
          <w:bCs/>
          <w:sz w:val="24"/>
          <w:szCs w:val="24"/>
        </w:rPr>
        <w:t>§ 1</w:t>
      </w:r>
      <w:r w:rsidR="001D15DB">
        <w:rPr>
          <w:rFonts w:eastAsia="Times New Roman" w:cstheme="minorHAnsi"/>
          <w:b/>
          <w:bCs/>
          <w:sz w:val="24"/>
          <w:szCs w:val="24"/>
        </w:rPr>
        <w:t xml:space="preserve"> </w:t>
      </w:r>
      <w:r w:rsidRPr="001D15DB">
        <w:rPr>
          <w:rFonts w:eastAsia="Times New Roman" w:cstheme="minorHAnsi"/>
          <w:b/>
          <w:bCs/>
          <w:sz w:val="24"/>
          <w:szCs w:val="24"/>
        </w:rPr>
        <w:t>Postanowienia ogólne</w:t>
      </w:r>
    </w:p>
    <w:p w14:paraId="34528C90"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 xml:space="preserve">1. Zakładowy Fundusz Świadczeń Socjalnych tworzy się z corocznego odpisu podstawowego w rozumieniu przepisów art. 2 pkt. 2 ustawy z dnia 4 marca 1994 roku o zakładowym funduszu świadczeń socjalnych (Dz. U. 2021 poz. 746) i przygotowany jest w oparciu </w:t>
      </w:r>
      <w:r w:rsidRPr="001D15DB">
        <w:rPr>
          <w:rFonts w:eastAsia="Times New Roman" w:cstheme="minorHAnsi"/>
          <w:sz w:val="24"/>
          <w:szCs w:val="24"/>
        </w:rPr>
        <w:br/>
        <w:t>o przepisy:  ustawę z dnia 23 maja1991 r o związkach zawodowych (Dz. U. z 2019 r.</w:t>
      </w:r>
      <w:r w:rsidRPr="001D15DB">
        <w:rPr>
          <w:rFonts w:eastAsia="Times New Roman" w:cstheme="minorHAnsi"/>
          <w:sz w:val="24"/>
          <w:szCs w:val="24"/>
        </w:rPr>
        <w:br/>
        <w:t xml:space="preserve"> poz. 263 ze zm.), ustawę z dnia 26 czerwca 1974 r. – Kodeks pracy (Dz. U. z 2020 r. </w:t>
      </w:r>
      <w:r w:rsidRPr="001D15DB">
        <w:rPr>
          <w:rFonts w:eastAsia="Times New Roman" w:cstheme="minorHAnsi"/>
          <w:sz w:val="24"/>
          <w:szCs w:val="24"/>
        </w:rPr>
        <w:br/>
        <w:t xml:space="preserve">poz. 1320), rozporządzenie Ministra Pracy i Polityki Społecznej z dnia 9 marca 2009 r. </w:t>
      </w:r>
      <w:r w:rsidRPr="001D15DB">
        <w:rPr>
          <w:rFonts w:eastAsia="Times New Roman" w:cstheme="minorHAnsi"/>
          <w:sz w:val="24"/>
          <w:szCs w:val="24"/>
        </w:rPr>
        <w:br/>
        <w:t xml:space="preserve">w sprawie sposobu ustalania przeciętnej liczby zatrudnionych w celu naliczenia odpisu </w:t>
      </w:r>
      <w:r w:rsidRPr="001D15DB">
        <w:rPr>
          <w:rFonts w:eastAsia="Times New Roman" w:cstheme="minorHAnsi"/>
          <w:sz w:val="24"/>
          <w:szCs w:val="24"/>
        </w:rPr>
        <w:br/>
        <w:t xml:space="preserve">na zakładowy fundusz świadczeń socjalnych (Dz. U. 2009 r. nr 43, poz. poz. 349), rozporządzenia Parlamentu Europejskiego i Rady (UE) 2016/679 z 27 kwietnia 2016 r. </w:t>
      </w:r>
      <w:r w:rsidRPr="001D15DB">
        <w:rPr>
          <w:rFonts w:eastAsia="Times New Roman" w:cstheme="minorHAnsi"/>
          <w:sz w:val="24"/>
          <w:szCs w:val="24"/>
        </w:rPr>
        <w:br/>
        <w:t xml:space="preserve">w sprawie ochrony osób fizycznych w związku z przetwarzaniem danych osobowych </w:t>
      </w:r>
      <w:r w:rsidRPr="001D15DB">
        <w:rPr>
          <w:rFonts w:eastAsia="Times New Roman" w:cstheme="minorHAnsi"/>
          <w:sz w:val="24"/>
          <w:szCs w:val="24"/>
        </w:rPr>
        <w:br/>
        <w:t xml:space="preserve">i w sprawie swobodnego przepływu takich danych oraz uchylenia dyrektywy 95/46/WE (Dz. Urz. UE z 2016 r. L 119, s.1). </w:t>
      </w:r>
    </w:p>
    <w:p w14:paraId="5DE74CC6" w14:textId="77777777" w:rsidR="00306C8D" w:rsidRPr="001D15DB" w:rsidRDefault="00306C8D" w:rsidP="001D15DB">
      <w:pPr>
        <w:tabs>
          <w:tab w:val="left" w:pos="284"/>
        </w:tabs>
        <w:spacing w:before="240" w:after="0" w:line="276" w:lineRule="auto"/>
        <w:rPr>
          <w:rFonts w:eastAsia="Times New Roman" w:cstheme="minorHAnsi"/>
          <w:sz w:val="24"/>
          <w:szCs w:val="24"/>
        </w:rPr>
      </w:pPr>
      <w:r w:rsidRPr="001D15DB">
        <w:rPr>
          <w:rFonts w:eastAsia="Times New Roman" w:cstheme="minorHAnsi"/>
          <w:sz w:val="24"/>
          <w:szCs w:val="24"/>
        </w:rPr>
        <w:t>2. Ilekroć w Regulaminie Gospodarowania Zakładowym Funduszem Świadczeń Socjalnych, zwanym dalej „Regulaminem”, jest mowa o :</w:t>
      </w:r>
    </w:p>
    <w:p w14:paraId="0D792751" w14:textId="77777777" w:rsidR="00306C8D" w:rsidRPr="001D15DB" w:rsidRDefault="00306C8D" w:rsidP="001D15DB">
      <w:pPr>
        <w:numPr>
          <w:ilvl w:val="0"/>
          <w:numId w:val="2"/>
        </w:numPr>
        <w:spacing w:after="0" w:line="276" w:lineRule="auto"/>
        <w:ind w:left="709" w:hanging="425"/>
        <w:rPr>
          <w:rFonts w:eastAsia="Times New Roman" w:cstheme="minorHAnsi"/>
          <w:sz w:val="24"/>
          <w:szCs w:val="24"/>
        </w:rPr>
      </w:pPr>
      <w:r w:rsidRPr="001D15DB">
        <w:rPr>
          <w:rFonts w:eastAsia="Times New Roman" w:cstheme="minorHAnsi"/>
          <w:sz w:val="24"/>
          <w:szCs w:val="24"/>
        </w:rPr>
        <w:t>Jednostce – rozumie się przez to Urząd Miasta Mława.</w:t>
      </w:r>
    </w:p>
    <w:p w14:paraId="7BE60AAA" w14:textId="77777777" w:rsidR="00306C8D" w:rsidRPr="001D15DB" w:rsidRDefault="00306C8D" w:rsidP="001D15DB">
      <w:pPr>
        <w:numPr>
          <w:ilvl w:val="0"/>
          <w:numId w:val="2"/>
        </w:numPr>
        <w:spacing w:after="0" w:line="276" w:lineRule="auto"/>
        <w:ind w:left="709" w:hanging="425"/>
        <w:rPr>
          <w:rFonts w:eastAsia="Times New Roman" w:cstheme="minorHAnsi"/>
          <w:sz w:val="24"/>
          <w:szCs w:val="24"/>
        </w:rPr>
      </w:pPr>
      <w:r w:rsidRPr="001D15DB">
        <w:rPr>
          <w:rFonts w:eastAsia="Times New Roman" w:cstheme="minorHAnsi"/>
          <w:sz w:val="24"/>
          <w:szCs w:val="24"/>
        </w:rPr>
        <w:t>Funduszu – rozumie się przez to Zakładowy Fundusz Świadczeń Socjalnych                    w rozumieniu przepisów ustawy z dnia 4 marca 1994 r. o zakładowym funduszu świadczeń socjalnych.</w:t>
      </w:r>
    </w:p>
    <w:p w14:paraId="43341D75" w14:textId="77777777" w:rsidR="00306C8D" w:rsidRPr="001D15DB" w:rsidRDefault="00306C8D" w:rsidP="001D15DB">
      <w:pPr>
        <w:numPr>
          <w:ilvl w:val="0"/>
          <w:numId w:val="2"/>
        </w:numPr>
        <w:spacing w:after="0" w:line="276" w:lineRule="auto"/>
        <w:ind w:left="709" w:hanging="425"/>
        <w:rPr>
          <w:rFonts w:eastAsia="Times New Roman" w:cstheme="minorHAnsi"/>
          <w:sz w:val="24"/>
          <w:szCs w:val="24"/>
        </w:rPr>
      </w:pPr>
      <w:r w:rsidRPr="001D15DB">
        <w:rPr>
          <w:rFonts w:eastAsia="Times New Roman" w:cstheme="minorHAnsi"/>
          <w:sz w:val="24"/>
          <w:szCs w:val="24"/>
        </w:rPr>
        <w:t>Pracodawcy – rozumie się przez to Urząd Miasta Mława w imieniu którego działa Burmistrz Miasta Mława.</w:t>
      </w:r>
    </w:p>
    <w:p w14:paraId="415AFB87" w14:textId="77777777" w:rsidR="00306C8D" w:rsidRPr="001D15DB" w:rsidRDefault="00306C8D" w:rsidP="001D15DB">
      <w:pPr>
        <w:numPr>
          <w:ilvl w:val="0"/>
          <w:numId w:val="2"/>
        </w:numPr>
        <w:spacing w:after="0" w:line="276" w:lineRule="auto"/>
        <w:ind w:left="709" w:hanging="425"/>
        <w:rPr>
          <w:rFonts w:eastAsia="Times New Roman" w:cstheme="minorHAnsi"/>
          <w:sz w:val="24"/>
          <w:szCs w:val="24"/>
        </w:rPr>
      </w:pPr>
      <w:r w:rsidRPr="001D15DB">
        <w:rPr>
          <w:rFonts w:eastAsia="Times New Roman" w:cstheme="minorHAnsi"/>
          <w:sz w:val="24"/>
          <w:szCs w:val="24"/>
        </w:rPr>
        <w:t xml:space="preserve">Komisji Socjalnej – rozumie się przez to komisję ds. gospodarowania zakładowym funduszem świadczeń socjalnych, w skład której wchodzą przedstawiciele pracowników poszczególnych Wydziałów Urzędu Miasta Mława oraz osoba upoważniona przez Pracodawcę, właściwą do uzgadniania preliminarza wydatków oraz opiniowania wniosków o przyznanie świadczeń socjalnych. </w:t>
      </w:r>
    </w:p>
    <w:p w14:paraId="5A7044B4" w14:textId="77777777" w:rsidR="00306C8D" w:rsidRPr="001D15DB" w:rsidRDefault="00306C8D" w:rsidP="001D15DB">
      <w:pPr>
        <w:numPr>
          <w:ilvl w:val="0"/>
          <w:numId w:val="2"/>
        </w:numPr>
        <w:tabs>
          <w:tab w:val="left" w:pos="0"/>
        </w:tabs>
        <w:spacing w:after="0" w:line="276" w:lineRule="auto"/>
        <w:ind w:left="709" w:hanging="425"/>
        <w:rPr>
          <w:rFonts w:eastAsia="Times New Roman" w:cstheme="minorHAnsi"/>
          <w:sz w:val="24"/>
          <w:szCs w:val="24"/>
        </w:rPr>
      </w:pPr>
      <w:r w:rsidRPr="001D15DB">
        <w:rPr>
          <w:rFonts w:eastAsia="Times New Roman" w:cstheme="minorHAnsi"/>
          <w:sz w:val="24"/>
          <w:szCs w:val="24"/>
        </w:rPr>
        <w:t>Uprawnionej wewnętrznej komórce organizacyjnej – Wydział Organizacyjny.</w:t>
      </w:r>
    </w:p>
    <w:p w14:paraId="2008A55A" w14:textId="77777777" w:rsidR="00306C8D" w:rsidRPr="001D15DB" w:rsidRDefault="00306C8D" w:rsidP="001D15DB">
      <w:pPr>
        <w:numPr>
          <w:ilvl w:val="0"/>
          <w:numId w:val="2"/>
        </w:numPr>
        <w:tabs>
          <w:tab w:val="left" w:pos="0"/>
        </w:tabs>
        <w:spacing w:after="0" w:line="276" w:lineRule="auto"/>
        <w:ind w:left="709" w:hanging="425"/>
        <w:rPr>
          <w:rFonts w:eastAsia="Times New Roman" w:cstheme="minorHAnsi"/>
          <w:sz w:val="24"/>
          <w:szCs w:val="24"/>
        </w:rPr>
      </w:pPr>
      <w:r w:rsidRPr="001D15DB">
        <w:rPr>
          <w:rFonts w:eastAsia="Times New Roman" w:cstheme="minorHAnsi"/>
          <w:sz w:val="24"/>
          <w:szCs w:val="24"/>
        </w:rPr>
        <w:t>Przewodniczący Komisji Socjalnej – członek Komisji Socjalnej wybrany zwykłą większością głosów przez członków Komisji Socjalnej,</w:t>
      </w:r>
    </w:p>
    <w:p w14:paraId="06BC401F" w14:textId="77777777" w:rsidR="00306C8D" w:rsidRPr="001D15DB" w:rsidRDefault="00306C8D" w:rsidP="001D15DB">
      <w:pPr>
        <w:numPr>
          <w:ilvl w:val="0"/>
          <w:numId w:val="2"/>
        </w:numPr>
        <w:tabs>
          <w:tab w:val="left" w:pos="0"/>
        </w:tabs>
        <w:spacing w:after="0" w:line="276" w:lineRule="auto"/>
        <w:ind w:left="709" w:hanging="425"/>
        <w:rPr>
          <w:rFonts w:eastAsia="Times New Roman" w:cstheme="minorHAnsi"/>
          <w:color w:val="000000"/>
          <w:sz w:val="24"/>
          <w:szCs w:val="24"/>
        </w:rPr>
      </w:pPr>
      <w:r w:rsidRPr="001D15DB">
        <w:rPr>
          <w:rFonts w:eastAsia="Times New Roman" w:cstheme="minorHAnsi"/>
          <w:color w:val="000000"/>
          <w:sz w:val="24"/>
          <w:szCs w:val="24"/>
        </w:rPr>
        <w:t xml:space="preserve">Zastępcy Przewodniczącego Komisji  Socjalnej – członkowie Komisji Socjalnej wybrani zwykłą większością głosów przez członków Komisji Socjalnej, zastępujący Przewodniczącego w razie jego nieobecności, </w:t>
      </w:r>
    </w:p>
    <w:p w14:paraId="7EF4913E" w14:textId="77777777" w:rsidR="00306C8D" w:rsidRPr="001D15DB" w:rsidRDefault="00306C8D" w:rsidP="001D15DB">
      <w:pPr>
        <w:numPr>
          <w:ilvl w:val="0"/>
          <w:numId w:val="2"/>
        </w:numPr>
        <w:tabs>
          <w:tab w:val="left" w:pos="0"/>
        </w:tabs>
        <w:spacing w:after="0" w:line="276" w:lineRule="auto"/>
        <w:ind w:left="709" w:hanging="425"/>
        <w:rPr>
          <w:rFonts w:eastAsia="Times New Roman" w:cstheme="minorHAnsi"/>
          <w:sz w:val="24"/>
          <w:szCs w:val="24"/>
        </w:rPr>
      </w:pPr>
      <w:r w:rsidRPr="001D15DB">
        <w:rPr>
          <w:rFonts w:eastAsia="Times New Roman" w:cstheme="minorHAnsi"/>
          <w:sz w:val="24"/>
          <w:szCs w:val="24"/>
        </w:rPr>
        <w:t>Pożyczkodawcy – należy przez to rozumieć Urząd Miasta Mława reprezentowany przez Burmistrza Miasta Mława, lub osobę przez niego upoważnioną do podpisywania umów pożyczek,</w:t>
      </w:r>
    </w:p>
    <w:p w14:paraId="0774E945" w14:textId="77777777" w:rsidR="00306C8D" w:rsidRPr="001D15DB" w:rsidRDefault="00306C8D" w:rsidP="001D15DB">
      <w:pPr>
        <w:numPr>
          <w:ilvl w:val="0"/>
          <w:numId w:val="2"/>
        </w:numPr>
        <w:spacing w:after="0" w:line="276" w:lineRule="auto"/>
        <w:ind w:left="709" w:hanging="425"/>
        <w:rPr>
          <w:rFonts w:eastAsia="Times New Roman" w:cstheme="minorHAnsi"/>
          <w:sz w:val="24"/>
          <w:szCs w:val="24"/>
        </w:rPr>
      </w:pPr>
      <w:r w:rsidRPr="001D15DB">
        <w:rPr>
          <w:rFonts w:eastAsia="Times New Roman" w:cstheme="minorHAnsi"/>
          <w:sz w:val="24"/>
          <w:szCs w:val="24"/>
        </w:rPr>
        <w:lastRenderedPageBreak/>
        <w:t>Pożyczkobiorcy – należy przez to rozumieć osobę otrzymującą ze środków funduszu zwrotne, oprocentowane świadczenie na cele mieszkaniowe,</w:t>
      </w:r>
    </w:p>
    <w:p w14:paraId="2B25A55A" w14:textId="77777777" w:rsidR="00306C8D" w:rsidRPr="001D15DB" w:rsidRDefault="00306C8D" w:rsidP="001D15DB">
      <w:pPr>
        <w:numPr>
          <w:ilvl w:val="0"/>
          <w:numId w:val="2"/>
        </w:numPr>
        <w:spacing w:after="0" w:line="276" w:lineRule="auto"/>
        <w:ind w:left="709" w:hanging="425"/>
        <w:rPr>
          <w:rFonts w:eastAsia="Times New Roman" w:cstheme="minorHAnsi"/>
          <w:sz w:val="24"/>
          <w:szCs w:val="24"/>
        </w:rPr>
      </w:pPr>
      <w:r w:rsidRPr="001D15DB">
        <w:rPr>
          <w:rFonts w:eastAsia="Times New Roman" w:cstheme="minorHAnsi"/>
          <w:sz w:val="24"/>
          <w:szCs w:val="24"/>
        </w:rPr>
        <w:t xml:space="preserve">Poręczycielu – należy przez to rozumieć osobę zobowiązaną do spłaty należności wynikającej z pożyczki otrzymanej przez Pożyczkobiorcę, w przypadku uchylenia </w:t>
      </w:r>
      <w:r w:rsidRPr="001D15DB">
        <w:rPr>
          <w:rFonts w:eastAsia="Times New Roman" w:cstheme="minorHAnsi"/>
          <w:sz w:val="24"/>
          <w:szCs w:val="24"/>
        </w:rPr>
        <w:br/>
        <w:t>się Pożyczkobiorcy od wywiązania się ze swoich zobowiązań.</w:t>
      </w:r>
    </w:p>
    <w:p w14:paraId="2351BEE2" w14:textId="552BE47B" w:rsidR="00306C8D" w:rsidRPr="001D15DB" w:rsidRDefault="00306C8D" w:rsidP="001D15DB">
      <w:pPr>
        <w:spacing w:before="240" w:after="0" w:line="276" w:lineRule="auto"/>
        <w:rPr>
          <w:rFonts w:eastAsia="Times New Roman" w:cstheme="minorHAnsi"/>
          <w:b/>
          <w:bCs/>
          <w:sz w:val="24"/>
          <w:szCs w:val="24"/>
        </w:rPr>
      </w:pPr>
      <w:r w:rsidRPr="001D15DB">
        <w:rPr>
          <w:rFonts w:eastAsia="Times New Roman" w:cstheme="minorHAnsi"/>
          <w:b/>
          <w:bCs/>
          <w:sz w:val="24"/>
          <w:szCs w:val="24"/>
        </w:rPr>
        <w:t>§ 2Zasady tworzenia Funduszu</w:t>
      </w:r>
    </w:p>
    <w:p w14:paraId="1214A5BE" w14:textId="77777777" w:rsidR="00306C8D" w:rsidRPr="001D15DB" w:rsidRDefault="00306C8D" w:rsidP="001D15DB">
      <w:pPr>
        <w:tabs>
          <w:tab w:val="left" w:pos="284"/>
        </w:tabs>
        <w:spacing w:after="0" w:line="276" w:lineRule="auto"/>
        <w:ind w:left="360"/>
        <w:rPr>
          <w:rFonts w:eastAsia="Times New Roman" w:cstheme="minorHAnsi"/>
          <w:sz w:val="24"/>
          <w:szCs w:val="24"/>
        </w:rPr>
      </w:pPr>
    </w:p>
    <w:p w14:paraId="3D2721FF"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 xml:space="preserve">Zakładowy Fundusz Świadczeń Socjalnych zwany dalej „Funduszem” tworzy </w:t>
      </w:r>
      <w:r w:rsidRPr="001D15DB">
        <w:rPr>
          <w:rFonts w:eastAsia="Calibri" w:cstheme="minorHAnsi"/>
          <w:sz w:val="24"/>
          <w:szCs w:val="24"/>
        </w:rPr>
        <w:br/>
        <w:t>się z corocznego odpisu podstawowego, naliczonego w stosunku do przeciętnej liczby zatrudnionych.</w:t>
      </w:r>
    </w:p>
    <w:p w14:paraId="2150016A" w14:textId="77777777" w:rsidR="00306C8D" w:rsidRPr="001D15DB" w:rsidRDefault="00306C8D" w:rsidP="001D15DB">
      <w:pPr>
        <w:numPr>
          <w:ilvl w:val="0"/>
          <w:numId w:val="14"/>
        </w:numPr>
        <w:spacing w:after="0" w:line="276" w:lineRule="auto"/>
        <w:ind w:left="426" w:hanging="426"/>
        <w:rPr>
          <w:rFonts w:eastAsia="Times New Roman" w:cstheme="minorHAnsi"/>
          <w:sz w:val="24"/>
          <w:szCs w:val="24"/>
        </w:rPr>
      </w:pPr>
      <w:r w:rsidRPr="001D15DB">
        <w:rPr>
          <w:rFonts w:eastAsia="Times New Roman" w:cstheme="minorHAnsi"/>
          <w:sz w:val="24"/>
          <w:szCs w:val="24"/>
        </w:rPr>
        <w:t>Podstawą naliczenia odpisu, o którym mowa w ust. 1, jest:</w:t>
      </w:r>
    </w:p>
    <w:p w14:paraId="155307D1" w14:textId="77777777" w:rsidR="00306C8D" w:rsidRPr="001D15DB" w:rsidRDefault="00306C8D" w:rsidP="001D15DB">
      <w:pPr>
        <w:numPr>
          <w:ilvl w:val="0"/>
          <w:numId w:val="3"/>
        </w:numPr>
        <w:spacing w:after="0" w:line="276" w:lineRule="auto"/>
        <w:rPr>
          <w:rFonts w:eastAsia="Times New Roman" w:cstheme="minorHAnsi"/>
          <w:color w:val="000000"/>
          <w:sz w:val="24"/>
          <w:szCs w:val="24"/>
        </w:rPr>
      </w:pPr>
      <w:r w:rsidRPr="001D15DB">
        <w:rPr>
          <w:rFonts w:eastAsia="Times New Roman" w:cstheme="minorHAnsi"/>
          <w:color w:val="000000"/>
          <w:sz w:val="24"/>
          <w:szCs w:val="24"/>
        </w:rPr>
        <w:t xml:space="preserve">przeciętna planowana liczba zatrudnionych w danym roku kalendarzowym, skorygowana do 31 grudnia danego roku, do faktycznej przeciętnej liczby zatrudnionych, obejmująca pracowników zatrudnionych na podstawie umowy </w:t>
      </w:r>
      <w:r w:rsidRPr="001D15DB">
        <w:rPr>
          <w:rFonts w:eastAsia="Times New Roman" w:cstheme="minorHAnsi"/>
          <w:color w:val="000000"/>
          <w:sz w:val="24"/>
          <w:szCs w:val="24"/>
        </w:rPr>
        <w:br/>
        <w:t>o pracę, powołania, mianowania lub wyboru w pełnym i niepełnym wymiarze czasu pracy, po przeliczeniu na pełny wymiar czasu pracy,</w:t>
      </w:r>
    </w:p>
    <w:p w14:paraId="2D5F9B45" w14:textId="77777777" w:rsidR="00306C8D" w:rsidRPr="001D15DB" w:rsidRDefault="00306C8D" w:rsidP="001D15DB">
      <w:pPr>
        <w:numPr>
          <w:ilvl w:val="0"/>
          <w:numId w:val="3"/>
        </w:numPr>
        <w:spacing w:after="0" w:line="276" w:lineRule="auto"/>
        <w:ind w:left="709" w:hanging="425"/>
        <w:rPr>
          <w:rFonts w:eastAsia="Times New Roman" w:cstheme="minorHAnsi"/>
          <w:sz w:val="24"/>
          <w:szCs w:val="24"/>
        </w:rPr>
      </w:pPr>
      <w:r w:rsidRPr="001D15DB">
        <w:rPr>
          <w:rFonts w:eastAsia="Times New Roman" w:cstheme="minorHAnsi"/>
          <w:sz w:val="24"/>
          <w:szCs w:val="24"/>
        </w:rPr>
        <w:t>liczba emerytów i rencistów – byłych pracowników, uprawnionych do świadczeń socjalnych, ustalona na podstawie imiennego wykazu sporządzanego przez uprawnioną wewnętrzną komórkę organizacyjną jednostki. Wykaz zawiera adres osób w nim ujętych i może być poddany weryfikacji pracodawcy na początku roku kalendarzowego.</w:t>
      </w:r>
    </w:p>
    <w:p w14:paraId="47D45E56"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Wysokość odpisu podstawowego na każdego zatrudnionego wynosi:</w:t>
      </w:r>
    </w:p>
    <w:p w14:paraId="3933F2E4" w14:textId="77777777" w:rsidR="00306C8D" w:rsidRPr="001D15DB" w:rsidRDefault="00306C8D" w:rsidP="001D15DB">
      <w:pPr>
        <w:numPr>
          <w:ilvl w:val="0"/>
          <w:numId w:val="33"/>
        </w:numPr>
        <w:spacing w:after="0" w:line="276" w:lineRule="auto"/>
        <w:rPr>
          <w:rFonts w:eastAsia="Times New Roman" w:cstheme="minorHAnsi"/>
          <w:sz w:val="24"/>
          <w:szCs w:val="24"/>
        </w:rPr>
      </w:pPr>
      <w:r w:rsidRPr="001D15DB">
        <w:rPr>
          <w:rFonts w:eastAsia="Times New Roman" w:cstheme="minorHAnsi"/>
          <w:sz w:val="24"/>
          <w:szCs w:val="24"/>
        </w:rPr>
        <w:t xml:space="preserve">37,5 % przeciętnego wynagrodzenia miesięcznego w gospodarce narodowej </w:t>
      </w:r>
      <w:r w:rsidRPr="001D15DB">
        <w:rPr>
          <w:rFonts w:eastAsia="Times New Roman" w:cstheme="minorHAnsi"/>
          <w:sz w:val="24"/>
          <w:szCs w:val="24"/>
        </w:rPr>
        <w:br/>
        <w:t>w roku poprzednim lub w drugim półroczu roku poprzedniego, jeżeli przeciętne wynagrodzenie z tego okresu stanowiło kwotę wyższą,</w:t>
      </w:r>
    </w:p>
    <w:p w14:paraId="18F9F304" w14:textId="77777777" w:rsidR="00306C8D" w:rsidRPr="001D15DB" w:rsidRDefault="00306C8D" w:rsidP="001D15DB">
      <w:pPr>
        <w:numPr>
          <w:ilvl w:val="0"/>
          <w:numId w:val="33"/>
        </w:numPr>
        <w:spacing w:after="0" w:line="276" w:lineRule="auto"/>
        <w:rPr>
          <w:rFonts w:eastAsia="Times New Roman" w:cstheme="minorHAnsi"/>
          <w:sz w:val="24"/>
          <w:szCs w:val="24"/>
        </w:rPr>
      </w:pPr>
      <w:r w:rsidRPr="001D15DB">
        <w:rPr>
          <w:rFonts w:eastAsia="Times New Roman" w:cstheme="minorHAnsi"/>
          <w:sz w:val="24"/>
          <w:szCs w:val="24"/>
        </w:rPr>
        <w:t xml:space="preserve">wysokość odpisu podstawowego może być zwiększona o 6,25% przeciętnego wynagrodzenia miesięcznego, o którym mowa w pkt 1, na każdą zatrudnioną osobę, </w:t>
      </w:r>
      <w:r w:rsidRPr="001D15DB">
        <w:rPr>
          <w:rFonts w:eastAsia="Times New Roman" w:cstheme="minorHAnsi"/>
          <w:sz w:val="24"/>
          <w:szCs w:val="24"/>
        </w:rPr>
        <w:br/>
        <w:t xml:space="preserve">w stosunku do której orzeczono znaczny lub umiarkowany stopień niepełnosprawności oraz na każdego emeryta i rencistę uprawnionego do opieki socjalnej,  </w:t>
      </w:r>
    </w:p>
    <w:p w14:paraId="47ECA04B" w14:textId="77777777" w:rsidR="00306C8D" w:rsidRPr="001D15DB" w:rsidRDefault="00306C8D" w:rsidP="001D15DB">
      <w:pPr>
        <w:numPr>
          <w:ilvl w:val="0"/>
          <w:numId w:val="33"/>
        </w:numPr>
        <w:spacing w:after="0" w:line="276" w:lineRule="auto"/>
        <w:rPr>
          <w:rFonts w:eastAsia="Times New Roman" w:cstheme="minorHAnsi"/>
          <w:sz w:val="24"/>
          <w:szCs w:val="24"/>
        </w:rPr>
      </w:pPr>
      <w:r w:rsidRPr="001D15DB">
        <w:rPr>
          <w:rFonts w:eastAsia="Times New Roman" w:cstheme="minorHAnsi"/>
          <w:sz w:val="24"/>
          <w:szCs w:val="24"/>
        </w:rPr>
        <w:t xml:space="preserve">Fundusz może być zwiększony o 6,25% przeciętnego wynagrodzenia miesięcznego, </w:t>
      </w:r>
      <w:r w:rsidRPr="001D15DB">
        <w:rPr>
          <w:rFonts w:eastAsia="Times New Roman" w:cstheme="minorHAnsi"/>
          <w:sz w:val="24"/>
          <w:szCs w:val="24"/>
        </w:rPr>
        <w:br/>
        <w:t xml:space="preserve">o którym mowa w art. 5 ust. 5 ustawy, na każdego emeryta i rencistę uprawnionego </w:t>
      </w:r>
      <w:r w:rsidRPr="001D15DB">
        <w:rPr>
          <w:rFonts w:eastAsia="Times New Roman" w:cstheme="minorHAnsi"/>
          <w:sz w:val="24"/>
          <w:szCs w:val="24"/>
        </w:rPr>
        <w:br/>
        <w:t>do opieki socjalnej.</w:t>
      </w:r>
    </w:p>
    <w:p w14:paraId="5BCE2DCB"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Środki Funduszu zwiększa się o:</w:t>
      </w:r>
    </w:p>
    <w:p w14:paraId="0FBFA8B4" w14:textId="77777777" w:rsidR="00306C8D" w:rsidRPr="001D15DB" w:rsidRDefault="00306C8D" w:rsidP="001D15DB">
      <w:pPr>
        <w:numPr>
          <w:ilvl w:val="0"/>
          <w:numId w:val="34"/>
        </w:numPr>
        <w:spacing w:after="0" w:line="276" w:lineRule="auto"/>
        <w:rPr>
          <w:rFonts w:eastAsia="Times New Roman" w:cstheme="minorHAnsi"/>
          <w:sz w:val="24"/>
          <w:szCs w:val="24"/>
        </w:rPr>
      </w:pPr>
      <w:r w:rsidRPr="001D15DB">
        <w:rPr>
          <w:rFonts w:eastAsia="Times New Roman" w:cstheme="minorHAnsi"/>
          <w:sz w:val="24"/>
          <w:szCs w:val="24"/>
        </w:rPr>
        <w:t>odsetki od środków funduszu,</w:t>
      </w:r>
    </w:p>
    <w:p w14:paraId="46B7C0B4" w14:textId="77777777" w:rsidR="00306C8D" w:rsidRPr="001D15DB" w:rsidRDefault="00306C8D" w:rsidP="001D15DB">
      <w:pPr>
        <w:numPr>
          <w:ilvl w:val="0"/>
          <w:numId w:val="34"/>
        </w:numPr>
        <w:spacing w:after="0" w:line="276" w:lineRule="auto"/>
        <w:rPr>
          <w:rFonts w:eastAsia="Times New Roman" w:cstheme="minorHAnsi"/>
          <w:sz w:val="24"/>
          <w:szCs w:val="24"/>
        </w:rPr>
      </w:pPr>
      <w:r w:rsidRPr="001D15DB">
        <w:rPr>
          <w:rFonts w:eastAsia="Times New Roman" w:cstheme="minorHAnsi"/>
          <w:sz w:val="24"/>
          <w:szCs w:val="24"/>
        </w:rPr>
        <w:t>wpływy z oprocentowania pożyczek udzielonych na cele mieszkaniowe,</w:t>
      </w:r>
    </w:p>
    <w:p w14:paraId="1268A5E4" w14:textId="77777777" w:rsidR="00306C8D" w:rsidRPr="001D15DB" w:rsidRDefault="00306C8D" w:rsidP="001D15DB">
      <w:pPr>
        <w:numPr>
          <w:ilvl w:val="0"/>
          <w:numId w:val="34"/>
        </w:numPr>
        <w:spacing w:after="0" w:line="276" w:lineRule="auto"/>
        <w:rPr>
          <w:rFonts w:eastAsia="Times New Roman" w:cstheme="minorHAnsi"/>
          <w:sz w:val="24"/>
          <w:szCs w:val="24"/>
        </w:rPr>
      </w:pPr>
      <w:r w:rsidRPr="001D15DB">
        <w:rPr>
          <w:rFonts w:eastAsia="Times New Roman" w:cstheme="minorHAnsi"/>
          <w:sz w:val="24"/>
          <w:szCs w:val="24"/>
        </w:rPr>
        <w:t xml:space="preserve">inne środki określone w ustawie o zakładowym funduszu świadczeń socjalnych oraz </w:t>
      </w:r>
      <w:r w:rsidRPr="001D15DB">
        <w:rPr>
          <w:rFonts w:eastAsia="Times New Roman" w:cstheme="minorHAnsi"/>
          <w:sz w:val="24"/>
          <w:szCs w:val="24"/>
        </w:rPr>
        <w:br/>
        <w:t>w odrębnych przepisach.</w:t>
      </w:r>
    </w:p>
    <w:p w14:paraId="53B0CFE7"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Funduszem administruje Pracodawca.</w:t>
      </w:r>
    </w:p>
    <w:p w14:paraId="4124B3F9"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lastRenderedPageBreak/>
        <w:t>Środki finansowe nie wykorzystane w danym roku kalendarzowym przechodzą na rok następny.</w:t>
      </w:r>
    </w:p>
    <w:p w14:paraId="3819363E"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 xml:space="preserve">Decyzje w sprawie przyznania świadczeń z funduszu podejmuje Pracodawca                              w uzgodnieniu z Komisją Socjalną.  </w:t>
      </w:r>
    </w:p>
    <w:p w14:paraId="3A42B9BF"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 xml:space="preserve">Do przetwarzania danych osobowych o stanie zdrowia i innych danych wynikających    </w:t>
      </w:r>
      <w:r w:rsidRPr="001D15DB">
        <w:rPr>
          <w:rFonts w:eastAsia="Calibri" w:cstheme="minorHAnsi"/>
          <w:sz w:val="24"/>
          <w:szCs w:val="24"/>
        </w:rPr>
        <w:br/>
        <w:t xml:space="preserve"> z art. 9 RODO uprawniona jest wyłącznie osoba, której udzielono pisemnego upoważnienia do przetwarzania tych danych osobowych. </w:t>
      </w:r>
    </w:p>
    <w:p w14:paraId="2CDCAA55"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Osoba, o której mowa w ust. 8 zobowiązana jest do zachowania w tajemnicy przetwarzanych danych.</w:t>
      </w:r>
    </w:p>
    <w:p w14:paraId="287F3F78"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Podstawą gospodarowania środkami Funduszu jest roczny plan rzeczowo – finansowy zwany Preliminarzem Wydatków uzgodniony z Komisją Socjalną i zatwierdzony przez Burmistrza Miasta Mława.</w:t>
      </w:r>
    </w:p>
    <w:p w14:paraId="34B2A819"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Times New Roman" w:cstheme="minorHAnsi"/>
          <w:sz w:val="24"/>
          <w:szCs w:val="24"/>
        </w:rPr>
        <w:t>Odpisu na Fundusz dokonuje Wydział Organizacyjny,</w:t>
      </w:r>
    </w:p>
    <w:p w14:paraId="44E7A830"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Odpisy podstawowe i zwiększenia odpisów na Fundusz obciążają koszty funkcjonowania Pracodawcy.</w:t>
      </w:r>
    </w:p>
    <w:p w14:paraId="062C22DE"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Times New Roman" w:cstheme="minorHAnsi"/>
          <w:sz w:val="24"/>
          <w:szCs w:val="24"/>
        </w:rPr>
        <w:t xml:space="preserve">Środki Funduszu gromadzone są na odrębnym rachunku bankowym i mogą być przeznaczone jedynie na cele określone w Regulaminie, zgodnie z przepisami ustawy </w:t>
      </w:r>
      <w:r w:rsidRPr="001D15DB">
        <w:rPr>
          <w:rFonts w:eastAsia="Times New Roman" w:cstheme="minorHAnsi"/>
          <w:sz w:val="24"/>
          <w:szCs w:val="24"/>
        </w:rPr>
        <w:br/>
        <w:t>o zakładowym funduszu świadczeń socjalnych;</w:t>
      </w:r>
    </w:p>
    <w:p w14:paraId="66424190" w14:textId="77777777" w:rsidR="00306C8D" w:rsidRPr="001D15DB" w:rsidRDefault="00306C8D" w:rsidP="001D15DB">
      <w:pPr>
        <w:numPr>
          <w:ilvl w:val="0"/>
          <w:numId w:val="1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Times New Roman" w:cstheme="minorHAnsi"/>
          <w:sz w:val="24"/>
          <w:szCs w:val="24"/>
        </w:rPr>
        <w:t>Pracodawca sprawuje nadzór nad gospodarką Funduszem oraz zatwierdza dyspozycje wypłat ze środków Funduszu w ramach planu, o którym mowa w pkt. 10.</w:t>
      </w:r>
    </w:p>
    <w:p w14:paraId="499F3E29" w14:textId="7D512E57" w:rsidR="00306C8D" w:rsidRPr="001D15DB" w:rsidRDefault="00306C8D" w:rsidP="001D15DB">
      <w:pPr>
        <w:spacing w:before="240" w:after="0" w:line="276" w:lineRule="auto"/>
        <w:rPr>
          <w:rFonts w:eastAsia="Calibri" w:cstheme="minorHAnsi"/>
          <w:b/>
          <w:bCs/>
          <w:color w:val="000000"/>
          <w:sz w:val="24"/>
          <w:szCs w:val="24"/>
        </w:rPr>
      </w:pPr>
      <w:r w:rsidRPr="001D15DB">
        <w:rPr>
          <w:rFonts w:eastAsia="Calibri" w:cstheme="minorHAnsi"/>
          <w:b/>
          <w:bCs/>
          <w:color w:val="000000"/>
          <w:sz w:val="24"/>
          <w:szCs w:val="24"/>
        </w:rPr>
        <w:t>§ 3</w:t>
      </w:r>
      <w:r w:rsidR="001D15DB">
        <w:rPr>
          <w:rFonts w:eastAsia="Calibri" w:cstheme="minorHAnsi"/>
          <w:b/>
          <w:bCs/>
          <w:color w:val="000000"/>
          <w:sz w:val="24"/>
          <w:szCs w:val="24"/>
        </w:rPr>
        <w:t xml:space="preserve"> </w:t>
      </w:r>
      <w:r w:rsidRPr="001D15DB">
        <w:rPr>
          <w:rFonts w:eastAsia="Times New Roman" w:cstheme="minorHAnsi"/>
          <w:b/>
          <w:sz w:val="24"/>
          <w:szCs w:val="24"/>
        </w:rPr>
        <w:t>Osoby upoważnione do korzystania ze środków funduszu</w:t>
      </w:r>
    </w:p>
    <w:p w14:paraId="7D209969" w14:textId="77777777" w:rsidR="00306C8D" w:rsidRPr="001D15DB" w:rsidRDefault="00306C8D" w:rsidP="001D15DB">
      <w:pPr>
        <w:tabs>
          <w:tab w:val="left" w:pos="284"/>
        </w:tabs>
        <w:spacing w:after="0" w:line="276" w:lineRule="auto"/>
        <w:rPr>
          <w:rFonts w:eastAsia="Times New Roman" w:cstheme="minorHAnsi"/>
          <w:b/>
          <w:sz w:val="24"/>
          <w:szCs w:val="24"/>
        </w:rPr>
      </w:pPr>
    </w:p>
    <w:p w14:paraId="66AA4E46" w14:textId="77777777" w:rsidR="00306C8D" w:rsidRPr="001D15DB" w:rsidRDefault="00306C8D" w:rsidP="001D15DB">
      <w:pPr>
        <w:numPr>
          <w:ilvl w:val="0"/>
          <w:numId w:val="36"/>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1D15DB">
        <w:rPr>
          <w:rFonts w:eastAsia="Calibri" w:cstheme="minorHAnsi"/>
          <w:sz w:val="24"/>
          <w:szCs w:val="24"/>
        </w:rPr>
        <w:t>Prawo do korzystania z funduszu mają:</w:t>
      </w:r>
    </w:p>
    <w:p w14:paraId="2E89BA75" w14:textId="77777777" w:rsidR="00306C8D" w:rsidRPr="001D15DB" w:rsidRDefault="00306C8D" w:rsidP="001D15DB">
      <w:pPr>
        <w:numPr>
          <w:ilvl w:val="0"/>
          <w:numId w:val="35"/>
        </w:numPr>
        <w:spacing w:after="0" w:line="276" w:lineRule="auto"/>
        <w:rPr>
          <w:rFonts w:eastAsia="Times New Roman" w:cstheme="minorHAnsi"/>
          <w:sz w:val="24"/>
          <w:szCs w:val="24"/>
        </w:rPr>
      </w:pPr>
      <w:r w:rsidRPr="001D15DB">
        <w:rPr>
          <w:rFonts w:eastAsia="Times New Roman" w:cstheme="minorHAnsi"/>
          <w:sz w:val="24"/>
          <w:szCs w:val="24"/>
        </w:rPr>
        <w:t xml:space="preserve">pracownicy zatrudnieni na podstawie umowy o pracę, powołania, mianowania </w:t>
      </w:r>
      <w:r w:rsidRPr="001D15DB">
        <w:rPr>
          <w:rFonts w:eastAsia="Times New Roman" w:cstheme="minorHAnsi"/>
          <w:sz w:val="24"/>
          <w:szCs w:val="24"/>
        </w:rPr>
        <w:br/>
        <w:t>lub wyboru bez względu na wymiar czasu pracy i rodzaj umowy,</w:t>
      </w:r>
    </w:p>
    <w:p w14:paraId="74C2EAF9" w14:textId="77777777" w:rsidR="00306C8D" w:rsidRPr="001D15DB" w:rsidRDefault="00306C8D" w:rsidP="001D15DB">
      <w:pPr>
        <w:numPr>
          <w:ilvl w:val="0"/>
          <w:numId w:val="35"/>
        </w:numPr>
        <w:spacing w:after="0" w:line="276" w:lineRule="auto"/>
        <w:rPr>
          <w:rFonts w:eastAsia="Times New Roman" w:cstheme="minorHAnsi"/>
          <w:sz w:val="24"/>
          <w:szCs w:val="24"/>
        </w:rPr>
      </w:pPr>
      <w:r w:rsidRPr="001D15DB">
        <w:rPr>
          <w:rFonts w:eastAsia="Times New Roman" w:cstheme="minorHAnsi"/>
          <w:sz w:val="24"/>
          <w:szCs w:val="24"/>
        </w:rPr>
        <w:t>członkowie rodzin pracowników;</w:t>
      </w:r>
    </w:p>
    <w:p w14:paraId="74BD55CE" w14:textId="77777777" w:rsidR="00306C8D" w:rsidRPr="001D15DB" w:rsidRDefault="00306C8D" w:rsidP="001D15DB">
      <w:pPr>
        <w:numPr>
          <w:ilvl w:val="0"/>
          <w:numId w:val="35"/>
        </w:numPr>
        <w:spacing w:after="0" w:line="276" w:lineRule="auto"/>
        <w:rPr>
          <w:rFonts w:eastAsia="Times New Roman" w:cstheme="minorHAnsi"/>
          <w:sz w:val="24"/>
          <w:szCs w:val="24"/>
        </w:rPr>
      </w:pPr>
      <w:r w:rsidRPr="001D15DB">
        <w:rPr>
          <w:rFonts w:eastAsia="Times New Roman" w:cstheme="minorHAnsi"/>
          <w:sz w:val="24"/>
          <w:szCs w:val="24"/>
        </w:rPr>
        <w:t>emeryci i renciści – byli pracownicy, z którymi rozwiązano stosunek pracy                     w związku z przejściem na emeryturę lub rentę;</w:t>
      </w:r>
    </w:p>
    <w:p w14:paraId="1E91A9B6" w14:textId="77777777" w:rsidR="00306C8D" w:rsidRPr="001D15DB" w:rsidRDefault="00306C8D" w:rsidP="001D15DB">
      <w:pPr>
        <w:numPr>
          <w:ilvl w:val="0"/>
          <w:numId w:val="35"/>
        </w:numPr>
        <w:spacing w:after="0" w:line="276" w:lineRule="auto"/>
        <w:rPr>
          <w:rFonts w:eastAsia="Times New Roman" w:cstheme="minorHAnsi"/>
          <w:sz w:val="24"/>
          <w:szCs w:val="24"/>
        </w:rPr>
      </w:pPr>
      <w:r w:rsidRPr="001D15DB">
        <w:rPr>
          <w:rFonts w:eastAsia="Times New Roman" w:cstheme="minorHAnsi"/>
          <w:sz w:val="24"/>
          <w:szCs w:val="24"/>
        </w:rPr>
        <w:t>pracownicy przebywający na urlopach wychowawczych i bezpłatnych;</w:t>
      </w:r>
    </w:p>
    <w:p w14:paraId="552877EB" w14:textId="77777777" w:rsidR="00306C8D" w:rsidRPr="001D15DB" w:rsidRDefault="00306C8D" w:rsidP="001D15DB">
      <w:pPr>
        <w:numPr>
          <w:ilvl w:val="0"/>
          <w:numId w:val="35"/>
        </w:numPr>
        <w:spacing w:after="0" w:line="276" w:lineRule="auto"/>
        <w:rPr>
          <w:rFonts w:eastAsia="Times New Roman" w:cstheme="minorHAnsi"/>
          <w:sz w:val="24"/>
          <w:szCs w:val="24"/>
        </w:rPr>
      </w:pPr>
      <w:r w:rsidRPr="001D15DB">
        <w:rPr>
          <w:rFonts w:eastAsia="Times New Roman" w:cstheme="minorHAnsi"/>
          <w:sz w:val="24"/>
          <w:szCs w:val="24"/>
        </w:rPr>
        <w:t>konkubenci uprawnionych pracowników o których mowa w pkt 1 pozostający faktycznie we wspólnym gospodarstwie domowym.</w:t>
      </w:r>
    </w:p>
    <w:p w14:paraId="0C8D532F" w14:textId="77777777" w:rsidR="00306C8D" w:rsidRPr="001D15DB" w:rsidRDefault="00306C8D" w:rsidP="001D15DB">
      <w:pPr>
        <w:numPr>
          <w:ilvl w:val="0"/>
          <w:numId w:val="17"/>
        </w:numPr>
        <w:suppressAutoHyphens/>
        <w:overflowPunct w:val="0"/>
        <w:autoSpaceDE w:val="0"/>
        <w:autoSpaceDN w:val="0"/>
        <w:spacing w:after="0" w:line="276" w:lineRule="auto"/>
        <w:ind w:left="426" w:hanging="426"/>
        <w:textAlignment w:val="baseline"/>
        <w:rPr>
          <w:rFonts w:eastAsia="Calibri" w:cstheme="minorHAnsi"/>
          <w:vanish/>
          <w:sz w:val="24"/>
          <w:szCs w:val="24"/>
        </w:rPr>
      </w:pPr>
    </w:p>
    <w:p w14:paraId="24BCD944" w14:textId="77777777" w:rsidR="00306C8D" w:rsidRPr="001D15DB" w:rsidRDefault="00306C8D" w:rsidP="001D15DB">
      <w:pPr>
        <w:numPr>
          <w:ilvl w:val="0"/>
          <w:numId w:val="17"/>
        </w:numPr>
        <w:suppressAutoHyphens/>
        <w:overflowPunct w:val="0"/>
        <w:autoSpaceDE w:val="0"/>
        <w:autoSpaceDN w:val="0"/>
        <w:spacing w:after="0" w:line="276" w:lineRule="auto"/>
        <w:ind w:left="426" w:hanging="426"/>
        <w:textAlignment w:val="baseline"/>
        <w:rPr>
          <w:rFonts w:eastAsia="Calibri" w:cstheme="minorHAnsi"/>
          <w:sz w:val="24"/>
          <w:szCs w:val="24"/>
        </w:rPr>
      </w:pPr>
      <w:r w:rsidRPr="001D15DB">
        <w:rPr>
          <w:rFonts w:eastAsia="Calibri" w:cstheme="minorHAnsi"/>
          <w:sz w:val="24"/>
          <w:szCs w:val="24"/>
        </w:rPr>
        <w:t>Za członka rodziny, o którym mowa w § 3 ust. 1 pkt 2,  uważa się:</w:t>
      </w:r>
    </w:p>
    <w:p w14:paraId="7BE7B91A" w14:textId="77777777" w:rsidR="00306C8D" w:rsidRPr="001D15DB" w:rsidRDefault="00306C8D" w:rsidP="001D15DB">
      <w:pPr>
        <w:numPr>
          <w:ilvl w:val="0"/>
          <w:numId w:val="37"/>
        </w:numPr>
        <w:spacing w:after="0" w:line="276" w:lineRule="auto"/>
        <w:rPr>
          <w:rFonts w:eastAsia="Times New Roman" w:cstheme="minorHAnsi"/>
          <w:sz w:val="24"/>
          <w:szCs w:val="24"/>
        </w:rPr>
      </w:pPr>
      <w:bookmarkStart w:id="1" w:name="_Hlk73012728"/>
      <w:r w:rsidRPr="001D15DB">
        <w:rPr>
          <w:rFonts w:eastAsia="Times New Roman" w:cstheme="minorHAnsi"/>
          <w:sz w:val="24"/>
          <w:szCs w:val="24"/>
        </w:rPr>
        <w:t xml:space="preserve">współmałżonka prowadzącego wspólne gospodarstwo domowe;  </w:t>
      </w:r>
    </w:p>
    <w:p w14:paraId="03B50B84" w14:textId="77777777" w:rsidR="00306C8D" w:rsidRPr="001D15DB" w:rsidRDefault="00306C8D" w:rsidP="001D15DB">
      <w:pPr>
        <w:numPr>
          <w:ilvl w:val="0"/>
          <w:numId w:val="37"/>
        </w:numPr>
        <w:spacing w:after="0" w:line="276" w:lineRule="auto"/>
        <w:rPr>
          <w:rFonts w:eastAsia="Times New Roman" w:cstheme="minorHAnsi"/>
          <w:sz w:val="24"/>
          <w:szCs w:val="24"/>
        </w:rPr>
      </w:pPr>
      <w:r w:rsidRPr="001D15DB">
        <w:rPr>
          <w:rFonts w:eastAsia="Times New Roman" w:cstheme="minorHAnsi"/>
          <w:sz w:val="24"/>
          <w:szCs w:val="24"/>
        </w:rPr>
        <w:t>dzieci własne, dzieci przysposobione, oraz przyjęte na wychowanie w ramach rodziny zastępczej, dzieci współmałżonka, jeżeli na tym małżonku ciąży obowiązek wychowania i utrzymania dziecka – nie dłużej niż do dnia ukończenia 18 lat, a jeżeli się kształcą, to do czasu ukończenia nauki, nie dłużej jednak niż do dnia ukończenia 24 roku życia;</w:t>
      </w:r>
    </w:p>
    <w:p w14:paraId="53877E2D" w14:textId="77777777" w:rsidR="00306C8D" w:rsidRPr="001D15DB" w:rsidRDefault="00306C8D" w:rsidP="001D15DB">
      <w:pPr>
        <w:numPr>
          <w:ilvl w:val="0"/>
          <w:numId w:val="37"/>
        </w:numPr>
        <w:spacing w:after="0" w:line="276" w:lineRule="auto"/>
        <w:rPr>
          <w:rFonts w:eastAsia="Times New Roman" w:cstheme="minorHAnsi"/>
          <w:sz w:val="24"/>
          <w:szCs w:val="24"/>
        </w:rPr>
      </w:pPr>
      <w:r w:rsidRPr="001D15DB">
        <w:rPr>
          <w:rFonts w:eastAsia="Times New Roman" w:cstheme="minorHAnsi"/>
          <w:sz w:val="24"/>
          <w:szCs w:val="24"/>
        </w:rPr>
        <w:t xml:space="preserve">dzieci bez względu na wiek, z orzeczonym stopniem niepełnosprawności, pod warunkiem, że dzieci nie zawarły związku małżeńskiego lub nie osiągają dochodów </w:t>
      </w:r>
      <w:r w:rsidRPr="001D15DB">
        <w:rPr>
          <w:rFonts w:eastAsia="Times New Roman" w:cstheme="minorHAnsi"/>
          <w:sz w:val="24"/>
          <w:szCs w:val="24"/>
        </w:rPr>
        <w:br/>
      </w:r>
      <w:r w:rsidRPr="001D15DB">
        <w:rPr>
          <w:rFonts w:eastAsia="Times New Roman" w:cstheme="minorHAnsi"/>
          <w:sz w:val="24"/>
          <w:szCs w:val="24"/>
        </w:rPr>
        <w:lastRenderedPageBreak/>
        <w:t xml:space="preserve">z tytułu zatrudnienia lub prowadzenia działalności gospodarczej, z wyłączeniem pobierania alimentów lub renty rodzinnej.  </w:t>
      </w:r>
    </w:p>
    <w:bookmarkEnd w:id="1"/>
    <w:p w14:paraId="050A39E4" w14:textId="118F175E" w:rsidR="00306C8D" w:rsidRPr="001D15DB" w:rsidRDefault="00306C8D" w:rsidP="001D15DB">
      <w:pPr>
        <w:numPr>
          <w:ilvl w:val="0"/>
          <w:numId w:val="17"/>
        </w:numPr>
        <w:suppressAutoHyphens/>
        <w:overflowPunct w:val="0"/>
        <w:autoSpaceDE w:val="0"/>
        <w:autoSpaceDN w:val="0"/>
        <w:spacing w:after="0" w:line="276" w:lineRule="auto"/>
        <w:ind w:left="426" w:hanging="426"/>
        <w:textAlignment w:val="baseline"/>
        <w:rPr>
          <w:rFonts w:eastAsia="Calibri" w:cstheme="minorHAnsi"/>
          <w:sz w:val="24"/>
          <w:szCs w:val="24"/>
        </w:rPr>
      </w:pPr>
      <w:r w:rsidRPr="001D15DB">
        <w:rPr>
          <w:rFonts w:eastAsia="Calibri" w:cstheme="minorHAnsi"/>
          <w:color w:val="000000"/>
          <w:sz w:val="24"/>
          <w:szCs w:val="24"/>
        </w:rPr>
        <w:t xml:space="preserve">Emerytami lub rencistami są w rozumieniu regulaminu osoby, które przeszły na emeryturę lub rentę bezpośrednio po zakończeniu pracy u Pracodawcy. </w:t>
      </w:r>
    </w:p>
    <w:p w14:paraId="7873E5E7" w14:textId="74B33080" w:rsidR="00306C8D" w:rsidRPr="001D15DB" w:rsidRDefault="00306C8D" w:rsidP="001D15DB">
      <w:pPr>
        <w:spacing w:before="240" w:after="0" w:line="276" w:lineRule="auto"/>
        <w:rPr>
          <w:rFonts w:eastAsia="Calibri" w:cstheme="minorHAnsi"/>
          <w:b/>
          <w:bCs/>
          <w:color w:val="000000"/>
          <w:sz w:val="24"/>
          <w:szCs w:val="24"/>
        </w:rPr>
      </w:pPr>
      <w:r w:rsidRPr="001D15DB">
        <w:rPr>
          <w:rFonts w:eastAsia="Calibri" w:cstheme="minorHAnsi"/>
          <w:b/>
          <w:bCs/>
          <w:color w:val="000000"/>
          <w:sz w:val="24"/>
          <w:szCs w:val="24"/>
        </w:rPr>
        <w:t>§ 4.</w:t>
      </w:r>
      <w:r w:rsidR="001D15DB">
        <w:rPr>
          <w:rFonts w:eastAsia="Calibri" w:cstheme="minorHAnsi"/>
          <w:b/>
          <w:bCs/>
          <w:color w:val="000000"/>
          <w:sz w:val="24"/>
          <w:szCs w:val="24"/>
        </w:rPr>
        <w:t xml:space="preserve"> </w:t>
      </w:r>
      <w:r w:rsidRPr="001D15DB">
        <w:rPr>
          <w:rFonts w:eastAsia="Calibri" w:cstheme="minorHAnsi"/>
          <w:b/>
          <w:bCs/>
          <w:color w:val="000000"/>
          <w:sz w:val="24"/>
          <w:szCs w:val="24"/>
        </w:rPr>
        <w:t>Przeznaczenie środków Funduszu Socjalnego</w:t>
      </w:r>
    </w:p>
    <w:p w14:paraId="1147B8A5" w14:textId="77777777" w:rsidR="00306C8D" w:rsidRPr="001D15DB" w:rsidRDefault="00306C8D" w:rsidP="001D15DB">
      <w:pPr>
        <w:suppressAutoHyphens/>
        <w:overflowPunct w:val="0"/>
        <w:autoSpaceDE w:val="0"/>
        <w:autoSpaceDN w:val="0"/>
        <w:spacing w:after="0" w:line="276" w:lineRule="auto"/>
        <w:textAlignment w:val="baseline"/>
        <w:rPr>
          <w:rFonts w:eastAsia="Calibri" w:cstheme="minorHAnsi"/>
          <w:b/>
          <w:bCs/>
          <w:color w:val="000000"/>
          <w:sz w:val="24"/>
          <w:szCs w:val="24"/>
        </w:rPr>
      </w:pPr>
    </w:p>
    <w:p w14:paraId="078350CF"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 xml:space="preserve">      Środki Funduszu przeznaczone są na:</w:t>
      </w:r>
    </w:p>
    <w:p w14:paraId="53BFD7E2" w14:textId="77777777" w:rsidR="00306C8D" w:rsidRPr="001D15DB" w:rsidRDefault="00306C8D" w:rsidP="001D15DB">
      <w:pPr>
        <w:tabs>
          <w:tab w:val="left" w:pos="284"/>
        </w:tabs>
        <w:spacing w:after="0" w:line="276" w:lineRule="auto"/>
        <w:rPr>
          <w:rFonts w:eastAsia="Times New Roman" w:cstheme="minorHAnsi"/>
          <w:sz w:val="24"/>
          <w:szCs w:val="24"/>
        </w:rPr>
      </w:pPr>
    </w:p>
    <w:p w14:paraId="01C9EC45" w14:textId="77777777" w:rsidR="00306C8D" w:rsidRPr="001D15DB" w:rsidRDefault="00306C8D" w:rsidP="001D15DB">
      <w:pPr>
        <w:numPr>
          <w:ilvl w:val="0"/>
          <w:numId w:val="28"/>
        </w:numPr>
        <w:tabs>
          <w:tab w:val="left" w:pos="284"/>
        </w:tabs>
        <w:spacing w:after="0" w:line="276" w:lineRule="auto"/>
        <w:ind w:left="709" w:hanging="425"/>
        <w:rPr>
          <w:rFonts w:eastAsia="Times New Roman" w:cstheme="minorHAnsi"/>
          <w:b/>
          <w:bCs/>
          <w:sz w:val="24"/>
          <w:szCs w:val="24"/>
        </w:rPr>
      </w:pPr>
      <w:r w:rsidRPr="001D15DB">
        <w:rPr>
          <w:rFonts w:eastAsia="Times New Roman" w:cstheme="minorHAnsi"/>
          <w:b/>
          <w:bCs/>
          <w:sz w:val="24"/>
          <w:szCs w:val="24"/>
        </w:rPr>
        <w:t xml:space="preserve">Dofinansowanie do zorganizowanego wypoczynku dzieci i młodzieży prowadzonego przez uprawnione do tego jednostki </w:t>
      </w:r>
    </w:p>
    <w:p w14:paraId="3A79CD83" w14:textId="77777777" w:rsidR="00306C8D" w:rsidRPr="001D15DB" w:rsidRDefault="00306C8D" w:rsidP="001D15DB">
      <w:pPr>
        <w:tabs>
          <w:tab w:val="left" w:pos="284"/>
        </w:tabs>
        <w:spacing w:after="0" w:line="276" w:lineRule="auto"/>
        <w:ind w:left="720"/>
        <w:rPr>
          <w:rFonts w:eastAsia="Times New Roman" w:cstheme="minorHAnsi"/>
          <w:sz w:val="24"/>
          <w:szCs w:val="24"/>
        </w:rPr>
      </w:pPr>
    </w:p>
    <w:p w14:paraId="6DCDE824" w14:textId="77777777" w:rsidR="00306C8D" w:rsidRPr="001D15DB" w:rsidRDefault="00306C8D" w:rsidP="001D15DB">
      <w:pPr>
        <w:numPr>
          <w:ilvl w:val="3"/>
          <w:numId w:val="17"/>
        </w:numPr>
        <w:suppressAutoHyphens/>
        <w:overflowPunct w:val="0"/>
        <w:autoSpaceDE w:val="0"/>
        <w:autoSpaceDN w:val="0"/>
        <w:spacing w:after="0" w:line="276" w:lineRule="auto"/>
        <w:ind w:left="426" w:hanging="426"/>
        <w:textAlignment w:val="baseline"/>
        <w:rPr>
          <w:rFonts w:eastAsia="Calibri" w:cstheme="minorHAnsi"/>
          <w:color w:val="000000"/>
          <w:sz w:val="24"/>
          <w:szCs w:val="24"/>
        </w:rPr>
      </w:pPr>
      <w:r w:rsidRPr="001D15DB">
        <w:rPr>
          <w:rFonts w:eastAsia="Calibri" w:cstheme="minorHAnsi"/>
          <w:color w:val="000000"/>
          <w:sz w:val="24"/>
          <w:szCs w:val="24"/>
        </w:rPr>
        <w:t xml:space="preserve">Przez dofinansowanie do zorganizowanego wypoczynku dla dzieci i młodzieży rozumie się dofinansowanie do kolonii, obozów i zimowisk, zakupionych od podmiotu prowadzącego działalność statutową  w tym zakresie lub od podmiotu prowadzącego działalność gospodarczą w zakresie organizacji zbiorowego wypoczynku dla dzieci </w:t>
      </w:r>
      <w:r w:rsidRPr="001D15DB">
        <w:rPr>
          <w:rFonts w:eastAsia="Calibri" w:cstheme="minorHAnsi"/>
          <w:color w:val="000000"/>
          <w:sz w:val="24"/>
          <w:szCs w:val="24"/>
        </w:rPr>
        <w:br/>
        <w:t xml:space="preserve">i młodzieży, zgodnie z </w:t>
      </w:r>
      <w:r w:rsidRPr="001D15DB">
        <w:rPr>
          <w:rFonts w:eastAsia="Times New Roman" w:cstheme="minorHAnsi"/>
          <w:sz w:val="24"/>
          <w:szCs w:val="24"/>
        </w:rPr>
        <w:t xml:space="preserve">art. 92c ust 1 Ustawy o systemie oświaty oraz </w:t>
      </w:r>
      <w:r w:rsidRPr="001D15DB">
        <w:rPr>
          <w:rFonts w:eastAsia="Calibri" w:cstheme="minorHAnsi"/>
          <w:color w:val="000000"/>
          <w:sz w:val="24"/>
          <w:szCs w:val="24"/>
        </w:rPr>
        <w:t xml:space="preserve"> Rozporządzeniem Ministra Edukacji Narodowej z dnia 30 marca 2016 r. w sprawie wypoczynku dzieci </w:t>
      </w:r>
      <w:r w:rsidRPr="001D15DB">
        <w:rPr>
          <w:rFonts w:eastAsia="Calibri" w:cstheme="minorHAnsi"/>
          <w:color w:val="000000"/>
          <w:sz w:val="24"/>
          <w:szCs w:val="24"/>
        </w:rPr>
        <w:br/>
        <w:t xml:space="preserve">i młodzieży, </w:t>
      </w:r>
      <w:r w:rsidRPr="001D15DB">
        <w:rPr>
          <w:rFonts w:eastAsia="Calibri" w:cstheme="minorHAnsi"/>
          <w:sz w:val="24"/>
          <w:szCs w:val="24"/>
        </w:rPr>
        <w:t xml:space="preserve">które to podmioty zgłosiły organizację wypoczynku dzieci lub młodzieży </w:t>
      </w:r>
      <w:r w:rsidRPr="001D15DB">
        <w:rPr>
          <w:rFonts w:eastAsia="Calibri" w:cstheme="minorHAnsi"/>
          <w:sz w:val="24"/>
          <w:szCs w:val="24"/>
        </w:rPr>
        <w:br/>
        <w:t>w trybie art. 92d ustawy o systemie oświaty.</w:t>
      </w:r>
      <w:r w:rsidRPr="001D15DB">
        <w:rPr>
          <w:rFonts w:eastAsia="Calibri" w:cstheme="minorHAnsi"/>
          <w:color w:val="000000"/>
          <w:sz w:val="24"/>
          <w:szCs w:val="24"/>
        </w:rPr>
        <w:t xml:space="preserve"> </w:t>
      </w:r>
    </w:p>
    <w:p w14:paraId="0F4F9DD9" w14:textId="77777777" w:rsidR="00306C8D" w:rsidRPr="001D15DB" w:rsidRDefault="00306C8D" w:rsidP="001D15DB">
      <w:pPr>
        <w:numPr>
          <w:ilvl w:val="3"/>
          <w:numId w:val="17"/>
        </w:numPr>
        <w:suppressAutoHyphens/>
        <w:overflowPunct w:val="0"/>
        <w:autoSpaceDE w:val="0"/>
        <w:autoSpaceDN w:val="0"/>
        <w:spacing w:after="0" w:line="276" w:lineRule="auto"/>
        <w:ind w:left="426" w:hanging="426"/>
        <w:textAlignment w:val="baseline"/>
        <w:rPr>
          <w:rFonts w:eastAsia="Calibri" w:cstheme="minorHAnsi"/>
          <w:color w:val="000000"/>
          <w:sz w:val="24"/>
          <w:szCs w:val="24"/>
        </w:rPr>
      </w:pPr>
      <w:r w:rsidRPr="001D15DB">
        <w:rPr>
          <w:rFonts w:eastAsia="Calibri" w:cstheme="minorHAnsi"/>
          <w:color w:val="000000"/>
          <w:sz w:val="24"/>
          <w:szCs w:val="24"/>
        </w:rPr>
        <w:t xml:space="preserve">Uprawniona osoba może otrzymać dofinansowanie do wypoczynku dzieci i młodzieży </w:t>
      </w:r>
      <w:r w:rsidRPr="001D15DB">
        <w:rPr>
          <w:rFonts w:eastAsia="Calibri" w:cstheme="minorHAnsi"/>
          <w:color w:val="000000"/>
          <w:sz w:val="24"/>
          <w:szCs w:val="24"/>
        </w:rPr>
        <w:br/>
        <w:t>do ukończenia przez nie 18 roku życia.</w:t>
      </w:r>
    </w:p>
    <w:p w14:paraId="7C674F8A" w14:textId="77777777" w:rsidR="00306C8D" w:rsidRPr="001D15DB" w:rsidRDefault="00306C8D" w:rsidP="001D15DB">
      <w:pPr>
        <w:numPr>
          <w:ilvl w:val="3"/>
          <w:numId w:val="17"/>
        </w:numPr>
        <w:suppressAutoHyphens/>
        <w:overflowPunct w:val="0"/>
        <w:autoSpaceDE w:val="0"/>
        <w:autoSpaceDN w:val="0"/>
        <w:spacing w:after="0" w:line="276" w:lineRule="auto"/>
        <w:ind w:left="426" w:hanging="426"/>
        <w:textAlignment w:val="baseline"/>
        <w:rPr>
          <w:rFonts w:eastAsia="Calibri" w:cstheme="minorHAnsi"/>
          <w:color w:val="000000"/>
          <w:sz w:val="24"/>
          <w:szCs w:val="24"/>
        </w:rPr>
      </w:pPr>
      <w:r w:rsidRPr="001D15DB">
        <w:rPr>
          <w:rFonts w:eastAsia="Calibri" w:cstheme="minorHAnsi"/>
          <w:color w:val="000000"/>
          <w:sz w:val="24"/>
          <w:szCs w:val="24"/>
        </w:rPr>
        <w:t xml:space="preserve">Warunkiem uzyskania dofinansowania jest złożenie wniosku stanowiącego załącznik </w:t>
      </w:r>
      <w:r w:rsidRPr="001D15DB">
        <w:rPr>
          <w:rFonts w:eastAsia="Calibri" w:cstheme="minorHAnsi"/>
          <w:color w:val="000000"/>
          <w:sz w:val="24"/>
          <w:szCs w:val="24"/>
        </w:rPr>
        <w:br/>
        <w:t xml:space="preserve">nr 1, przedstawienie faktury, potwierdzenia przelewu oraz zaświadczenia, o którym mowa w ust. 4. </w:t>
      </w:r>
    </w:p>
    <w:p w14:paraId="22636CCD" w14:textId="77777777" w:rsidR="00306C8D" w:rsidRPr="001D15DB" w:rsidRDefault="00306C8D" w:rsidP="001D15DB">
      <w:pPr>
        <w:numPr>
          <w:ilvl w:val="3"/>
          <w:numId w:val="17"/>
        </w:numPr>
        <w:suppressAutoHyphens/>
        <w:overflowPunct w:val="0"/>
        <w:autoSpaceDE w:val="0"/>
        <w:autoSpaceDN w:val="0"/>
        <w:spacing w:after="0" w:line="276" w:lineRule="auto"/>
        <w:ind w:left="426" w:hanging="426"/>
        <w:textAlignment w:val="baseline"/>
        <w:rPr>
          <w:rFonts w:eastAsia="Calibri" w:cstheme="minorHAnsi"/>
          <w:color w:val="000000"/>
          <w:sz w:val="24"/>
          <w:szCs w:val="24"/>
        </w:rPr>
      </w:pPr>
      <w:r w:rsidRPr="001D15DB">
        <w:rPr>
          <w:rFonts w:eastAsia="Calibri" w:cstheme="minorHAnsi"/>
          <w:color w:val="000000"/>
          <w:sz w:val="24"/>
          <w:szCs w:val="24"/>
        </w:rPr>
        <w:t xml:space="preserve">Z faktury jasno powinno wynikać kto jest organizatorem wypoczynku, w jakim czasie był zorganizowany, kto w nim uczestniczył, oraz jaki jest koszt. Do faktury Wnioskodawca dołącza w formie załącznika zaświadczenie od organizatora wypoczynku o dopełnieniu obowiązku zgłoszenia obozu lub kolonii do kuratorium oświaty właściwego dla miejsca zorganizowanego wypoczynku oraz do systemu bazy wypoczynku prowadzonej przez Ministerstwo Edukacji i Nauki. </w:t>
      </w:r>
    </w:p>
    <w:p w14:paraId="5B51BE20" w14:textId="77777777" w:rsidR="00306C8D" w:rsidRPr="001D15DB" w:rsidRDefault="00306C8D" w:rsidP="001D15DB">
      <w:pPr>
        <w:numPr>
          <w:ilvl w:val="3"/>
          <w:numId w:val="17"/>
        </w:numPr>
        <w:suppressAutoHyphens/>
        <w:overflowPunct w:val="0"/>
        <w:autoSpaceDE w:val="0"/>
        <w:autoSpaceDN w:val="0"/>
        <w:spacing w:after="0" w:line="276" w:lineRule="auto"/>
        <w:ind w:left="426" w:hanging="426"/>
        <w:textAlignment w:val="baseline"/>
        <w:rPr>
          <w:rFonts w:eastAsia="Calibri" w:cstheme="minorHAnsi"/>
          <w:color w:val="000000"/>
          <w:sz w:val="24"/>
          <w:szCs w:val="24"/>
        </w:rPr>
      </w:pPr>
      <w:r w:rsidRPr="001D15DB">
        <w:rPr>
          <w:rFonts w:eastAsia="Calibri" w:cstheme="minorHAnsi"/>
          <w:color w:val="000000"/>
          <w:sz w:val="24"/>
          <w:szCs w:val="24"/>
        </w:rPr>
        <w:t>Wysokość dofinansowania uzależniona jest od dochodu przypadającego na jednego członka tworzącego wspólne gospodarstwo domowe i wynosi:</w:t>
      </w:r>
    </w:p>
    <w:p w14:paraId="69F7C0AB" w14:textId="77777777" w:rsidR="00306C8D" w:rsidRPr="001D15DB" w:rsidRDefault="00306C8D" w:rsidP="001D15DB">
      <w:pPr>
        <w:suppressAutoHyphens/>
        <w:overflowPunct w:val="0"/>
        <w:autoSpaceDE w:val="0"/>
        <w:autoSpaceDN w:val="0"/>
        <w:spacing w:after="0" w:line="276" w:lineRule="auto"/>
        <w:ind w:left="709" w:hanging="425"/>
        <w:textAlignment w:val="baseline"/>
        <w:rPr>
          <w:rFonts w:eastAsia="Times New Roman"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3260"/>
        <w:gridCol w:w="5020"/>
      </w:tblGrid>
      <w:tr w:rsidR="00306C8D" w:rsidRPr="001D15DB" w14:paraId="6FB24146" w14:textId="77777777" w:rsidTr="004954CE">
        <w:trPr>
          <w:jc w:val="center"/>
        </w:trPr>
        <w:tc>
          <w:tcPr>
            <w:tcW w:w="626" w:type="dxa"/>
            <w:vAlign w:val="center"/>
          </w:tcPr>
          <w:p w14:paraId="60A7414D"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Lp.</w:t>
            </w:r>
          </w:p>
        </w:tc>
        <w:tc>
          <w:tcPr>
            <w:tcW w:w="3260" w:type="dxa"/>
          </w:tcPr>
          <w:p w14:paraId="0B81175E"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Dochód miesięczny</w:t>
            </w:r>
            <w:r w:rsidRPr="001D15DB">
              <w:rPr>
                <w:rFonts w:eastAsia="Times New Roman" w:cstheme="minorHAnsi"/>
                <w:b/>
                <w:bCs/>
                <w:sz w:val="24"/>
                <w:szCs w:val="24"/>
              </w:rPr>
              <w:br/>
              <w:t xml:space="preserve"> w przeliczeniu na członka gospodarstwa domowego</w:t>
            </w:r>
          </w:p>
        </w:tc>
        <w:tc>
          <w:tcPr>
            <w:tcW w:w="5020" w:type="dxa"/>
            <w:vAlign w:val="center"/>
          </w:tcPr>
          <w:p w14:paraId="726A364E"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 xml:space="preserve">Wysokość dofinansowania </w:t>
            </w:r>
          </w:p>
        </w:tc>
      </w:tr>
      <w:tr w:rsidR="00306C8D" w:rsidRPr="001D15DB" w14:paraId="24C1BF44" w14:textId="77777777" w:rsidTr="004954CE">
        <w:trPr>
          <w:jc w:val="center"/>
        </w:trPr>
        <w:tc>
          <w:tcPr>
            <w:tcW w:w="626" w:type="dxa"/>
            <w:vAlign w:val="center"/>
          </w:tcPr>
          <w:p w14:paraId="247F0CD9"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1.</w:t>
            </w:r>
          </w:p>
        </w:tc>
        <w:tc>
          <w:tcPr>
            <w:tcW w:w="3260" w:type="dxa"/>
            <w:vAlign w:val="center"/>
          </w:tcPr>
          <w:p w14:paraId="391CA265"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do 2 500 zł</w:t>
            </w:r>
          </w:p>
        </w:tc>
        <w:tc>
          <w:tcPr>
            <w:tcW w:w="5020" w:type="dxa"/>
            <w:vAlign w:val="center"/>
          </w:tcPr>
          <w:p w14:paraId="1A8ED40F"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 xml:space="preserve">50% kosztu wypoczynku dziecka, </w:t>
            </w:r>
          </w:p>
          <w:p w14:paraId="746A1558"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nie więcej niż 2 000,00 zł w skali roku                             na gospodarstwo domowe</w:t>
            </w:r>
          </w:p>
        </w:tc>
      </w:tr>
      <w:tr w:rsidR="00306C8D" w:rsidRPr="001D15DB" w14:paraId="7AD67419" w14:textId="77777777" w:rsidTr="004954CE">
        <w:trPr>
          <w:jc w:val="center"/>
        </w:trPr>
        <w:tc>
          <w:tcPr>
            <w:tcW w:w="626" w:type="dxa"/>
            <w:vAlign w:val="center"/>
          </w:tcPr>
          <w:p w14:paraId="37D35591"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2.</w:t>
            </w:r>
          </w:p>
        </w:tc>
        <w:tc>
          <w:tcPr>
            <w:tcW w:w="3260" w:type="dxa"/>
            <w:vAlign w:val="center"/>
          </w:tcPr>
          <w:p w14:paraId="4186688D"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od 2 501 zł – 3 500 zł</w:t>
            </w:r>
          </w:p>
        </w:tc>
        <w:tc>
          <w:tcPr>
            <w:tcW w:w="5020" w:type="dxa"/>
            <w:vAlign w:val="center"/>
          </w:tcPr>
          <w:p w14:paraId="5C65D0FF"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40% kosztu wypoczynku dziecka</w:t>
            </w:r>
          </w:p>
          <w:p w14:paraId="490FB66E"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lastRenderedPageBreak/>
              <w:t xml:space="preserve">nie więcej niż 2 000,00 zł w skali roku </w:t>
            </w:r>
            <w:r w:rsidRPr="001D15DB">
              <w:rPr>
                <w:rFonts w:eastAsia="Times New Roman" w:cstheme="minorHAnsi"/>
                <w:color w:val="000000"/>
                <w:sz w:val="24"/>
                <w:szCs w:val="24"/>
              </w:rPr>
              <w:br/>
              <w:t>na gospodarstwo domowe</w:t>
            </w:r>
          </w:p>
        </w:tc>
      </w:tr>
      <w:tr w:rsidR="00306C8D" w:rsidRPr="001D15DB" w14:paraId="7D7761D1" w14:textId="77777777" w:rsidTr="004954CE">
        <w:trPr>
          <w:jc w:val="center"/>
        </w:trPr>
        <w:tc>
          <w:tcPr>
            <w:tcW w:w="626" w:type="dxa"/>
            <w:vAlign w:val="center"/>
          </w:tcPr>
          <w:p w14:paraId="1030D0A1"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lastRenderedPageBreak/>
              <w:t>3.</w:t>
            </w:r>
          </w:p>
        </w:tc>
        <w:tc>
          <w:tcPr>
            <w:tcW w:w="3260" w:type="dxa"/>
            <w:vAlign w:val="center"/>
          </w:tcPr>
          <w:p w14:paraId="3BC0798B" w14:textId="77777777" w:rsidR="00306C8D" w:rsidRPr="001D15DB" w:rsidRDefault="00306C8D" w:rsidP="001D15DB">
            <w:pPr>
              <w:tabs>
                <w:tab w:val="left" w:pos="284"/>
              </w:tabs>
              <w:spacing w:after="0" w:line="276" w:lineRule="auto"/>
              <w:ind w:right="-215" w:firstLine="34"/>
              <w:rPr>
                <w:rFonts w:eastAsia="Times New Roman" w:cstheme="minorHAnsi"/>
                <w:sz w:val="24"/>
                <w:szCs w:val="24"/>
              </w:rPr>
            </w:pPr>
            <w:r w:rsidRPr="001D15DB">
              <w:rPr>
                <w:rFonts w:eastAsia="Times New Roman" w:cstheme="minorHAnsi"/>
                <w:sz w:val="24"/>
                <w:szCs w:val="24"/>
              </w:rPr>
              <w:t>Powyżej 3 500 zł</w:t>
            </w:r>
          </w:p>
        </w:tc>
        <w:tc>
          <w:tcPr>
            <w:tcW w:w="5020" w:type="dxa"/>
            <w:vAlign w:val="center"/>
          </w:tcPr>
          <w:p w14:paraId="6203A728"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30% kosztu wypoczynku dziecka</w:t>
            </w:r>
          </w:p>
          <w:p w14:paraId="41308552"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 xml:space="preserve">nie więcej niż 2 000,00 zł w skali roku </w:t>
            </w:r>
            <w:r w:rsidRPr="001D15DB">
              <w:rPr>
                <w:rFonts w:eastAsia="Times New Roman" w:cstheme="minorHAnsi"/>
                <w:color w:val="000000"/>
                <w:sz w:val="24"/>
                <w:szCs w:val="24"/>
              </w:rPr>
              <w:br/>
              <w:t>na gospodarstwo domowe</w:t>
            </w:r>
          </w:p>
        </w:tc>
      </w:tr>
    </w:tbl>
    <w:p w14:paraId="6C0FE0BD" w14:textId="77777777" w:rsidR="00306C8D" w:rsidRPr="001D15DB" w:rsidRDefault="00306C8D" w:rsidP="001D15DB">
      <w:pPr>
        <w:tabs>
          <w:tab w:val="left" w:pos="284"/>
        </w:tabs>
        <w:spacing w:after="0" w:line="276" w:lineRule="auto"/>
        <w:rPr>
          <w:rFonts w:eastAsia="Times New Roman" w:cstheme="minorHAnsi"/>
          <w:sz w:val="24"/>
          <w:szCs w:val="24"/>
        </w:rPr>
      </w:pPr>
    </w:p>
    <w:p w14:paraId="382DAC92" w14:textId="77777777" w:rsidR="00306C8D" w:rsidRPr="001D15DB" w:rsidRDefault="00306C8D" w:rsidP="001D15DB">
      <w:pPr>
        <w:tabs>
          <w:tab w:val="left" w:pos="284"/>
        </w:tabs>
        <w:spacing w:after="0" w:line="276" w:lineRule="auto"/>
        <w:ind w:left="720" w:hanging="436"/>
        <w:rPr>
          <w:rFonts w:eastAsia="Times New Roman" w:cstheme="minorHAnsi"/>
          <w:sz w:val="24"/>
          <w:szCs w:val="24"/>
        </w:rPr>
      </w:pPr>
    </w:p>
    <w:p w14:paraId="4B4224E5" w14:textId="77777777" w:rsidR="00306C8D" w:rsidRPr="001D15DB" w:rsidRDefault="00306C8D" w:rsidP="001D15DB">
      <w:pPr>
        <w:numPr>
          <w:ilvl w:val="0"/>
          <w:numId w:val="28"/>
        </w:num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Pożyczki na cele mieszkaniowe</w:t>
      </w:r>
    </w:p>
    <w:p w14:paraId="438E4673" w14:textId="77777777" w:rsidR="00306C8D" w:rsidRPr="001D15DB" w:rsidRDefault="00306C8D" w:rsidP="001D15DB">
      <w:pPr>
        <w:tabs>
          <w:tab w:val="left" w:pos="284"/>
        </w:tabs>
        <w:spacing w:after="0" w:line="276" w:lineRule="auto"/>
        <w:ind w:left="720"/>
        <w:rPr>
          <w:rFonts w:eastAsia="Times New Roman" w:cstheme="minorHAnsi"/>
          <w:b/>
          <w:bCs/>
          <w:sz w:val="24"/>
          <w:szCs w:val="24"/>
        </w:rPr>
      </w:pPr>
    </w:p>
    <w:p w14:paraId="44317AC6"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Ze środków Funduszu mogą być udzielane pożyczki na:</w:t>
      </w:r>
    </w:p>
    <w:p w14:paraId="393FE555" w14:textId="77777777" w:rsidR="00306C8D" w:rsidRPr="001D15DB" w:rsidRDefault="00306C8D" w:rsidP="001D15DB">
      <w:pPr>
        <w:numPr>
          <w:ilvl w:val="0"/>
          <w:numId w:val="38"/>
        </w:numPr>
        <w:spacing w:after="0" w:line="276" w:lineRule="auto"/>
        <w:rPr>
          <w:rFonts w:eastAsia="Times New Roman" w:cstheme="minorHAnsi"/>
          <w:sz w:val="24"/>
          <w:szCs w:val="24"/>
        </w:rPr>
      </w:pPr>
      <w:r w:rsidRPr="001D15DB">
        <w:rPr>
          <w:rFonts w:eastAsia="Times New Roman" w:cstheme="minorHAnsi"/>
          <w:sz w:val="24"/>
          <w:szCs w:val="24"/>
        </w:rPr>
        <w:t>budowę domu mieszkalnego,</w:t>
      </w:r>
    </w:p>
    <w:p w14:paraId="634DBAD4" w14:textId="77777777" w:rsidR="00306C8D" w:rsidRPr="001D15DB" w:rsidRDefault="00306C8D" w:rsidP="001D15DB">
      <w:pPr>
        <w:numPr>
          <w:ilvl w:val="0"/>
          <w:numId w:val="38"/>
        </w:numPr>
        <w:spacing w:after="0" w:line="276" w:lineRule="auto"/>
        <w:rPr>
          <w:rFonts w:eastAsia="Times New Roman" w:cstheme="minorHAnsi"/>
          <w:sz w:val="24"/>
          <w:szCs w:val="24"/>
        </w:rPr>
      </w:pPr>
      <w:r w:rsidRPr="001D15DB">
        <w:rPr>
          <w:rFonts w:eastAsia="Times New Roman" w:cstheme="minorHAnsi"/>
          <w:sz w:val="24"/>
          <w:szCs w:val="24"/>
        </w:rPr>
        <w:t>remont lub modernizację domu mieszkalnego lub lokalu mieszkalnego,</w:t>
      </w:r>
    </w:p>
    <w:p w14:paraId="380545C3" w14:textId="77777777" w:rsidR="00306C8D" w:rsidRPr="001D15DB" w:rsidRDefault="00306C8D" w:rsidP="001D15DB">
      <w:pPr>
        <w:numPr>
          <w:ilvl w:val="0"/>
          <w:numId w:val="38"/>
        </w:numPr>
        <w:spacing w:after="0" w:line="276" w:lineRule="auto"/>
        <w:rPr>
          <w:rFonts w:eastAsia="Times New Roman" w:cstheme="minorHAnsi"/>
          <w:sz w:val="24"/>
          <w:szCs w:val="24"/>
        </w:rPr>
      </w:pPr>
      <w:r w:rsidRPr="001D15DB">
        <w:rPr>
          <w:rFonts w:eastAsia="Times New Roman" w:cstheme="minorHAnsi"/>
          <w:sz w:val="24"/>
          <w:szCs w:val="24"/>
        </w:rPr>
        <w:t>kupno domu mieszkalnego lub lokalu mieszkalnego,</w:t>
      </w:r>
    </w:p>
    <w:p w14:paraId="3D520F26"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Wysokość udzielanej pożyczki na cele mieszkaniowe wynosi nie więcej niż 10 000,00 złotych (słownie: dziesięć tysięcy złotych).  </w:t>
      </w:r>
    </w:p>
    <w:p w14:paraId="101BFF52"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Wnioski na pożyczki mieszkaniowe rozpatrywane są w kolejności złożenia (wniosek powinien zawierać datę wpływu wraz z parafką osoby przyjmującej).</w:t>
      </w:r>
    </w:p>
    <w:p w14:paraId="1D1EB074"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Pożyczka mieszkaniowa udzielana jest na wniosek pracownika, emeryta lub rencisty, który we wniosku wskazuje dwóch poręczycieli. Poręczycielami mogą być tylko pracownicy Urzędu Miasta Mława zatrudnieni na czas nieokreślony. Wzór wniosku stanowi załącznik nr 2 do niniejszego regulaminu.</w:t>
      </w:r>
    </w:p>
    <w:p w14:paraId="3D640671"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W sytuacjach losowych (zerwanie dachu, pożar, zalanie, kradzież itp.) Pracodawca może przyznać pożyczkę poza kolejnością lub w większej wysokości, w miarę posiadanych środków. </w:t>
      </w:r>
    </w:p>
    <w:p w14:paraId="4157EEA6"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Zasady spłaty pożyczki określa umowa – załącznik nr 3, zawarta przez Pracodawcę                                    z pożyczkobiorcą, przy czym:</w:t>
      </w:r>
    </w:p>
    <w:p w14:paraId="656B28B9" w14:textId="77777777" w:rsidR="00306C8D" w:rsidRPr="001D15DB" w:rsidRDefault="00306C8D" w:rsidP="001D15DB">
      <w:pPr>
        <w:numPr>
          <w:ilvl w:val="0"/>
          <w:numId w:val="39"/>
        </w:numPr>
        <w:spacing w:after="0" w:line="276" w:lineRule="auto"/>
        <w:rPr>
          <w:rFonts w:eastAsia="Times New Roman" w:cstheme="minorHAnsi"/>
          <w:sz w:val="24"/>
          <w:szCs w:val="24"/>
        </w:rPr>
      </w:pPr>
      <w:r w:rsidRPr="001D15DB">
        <w:rPr>
          <w:rFonts w:eastAsia="Times New Roman" w:cstheme="minorHAnsi"/>
          <w:sz w:val="24"/>
          <w:szCs w:val="24"/>
        </w:rPr>
        <w:t xml:space="preserve">umowy dotyczące pożyczek na cele mieszkaniowe powinny określać termin spłaty nie dłuższy niż 24 miesiące, </w:t>
      </w:r>
    </w:p>
    <w:p w14:paraId="5B0639EA" w14:textId="77777777" w:rsidR="00306C8D" w:rsidRPr="001D15DB" w:rsidRDefault="00306C8D" w:rsidP="001D15DB">
      <w:pPr>
        <w:numPr>
          <w:ilvl w:val="0"/>
          <w:numId w:val="39"/>
        </w:numPr>
        <w:spacing w:after="0" w:line="276" w:lineRule="auto"/>
        <w:rPr>
          <w:rFonts w:eastAsia="Times New Roman" w:cstheme="minorHAnsi"/>
          <w:sz w:val="24"/>
          <w:szCs w:val="24"/>
        </w:rPr>
      </w:pPr>
      <w:r w:rsidRPr="001D15DB">
        <w:rPr>
          <w:rFonts w:eastAsia="Times New Roman" w:cstheme="minorHAnsi"/>
          <w:sz w:val="24"/>
          <w:szCs w:val="24"/>
        </w:rPr>
        <w:t>oprocentowanie pożyczki uzależnione jest od dochodu przypadającego na jednego członka gospodarstwa domowego i wynosi:</w:t>
      </w:r>
    </w:p>
    <w:p w14:paraId="18E8B7C0" w14:textId="77777777" w:rsidR="00306C8D" w:rsidRPr="001D15DB" w:rsidRDefault="00306C8D" w:rsidP="001D15DB">
      <w:pPr>
        <w:suppressAutoHyphens/>
        <w:overflowPunct w:val="0"/>
        <w:autoSpaceDE w:val="0"/>
        <w:autoSpaceDN w:val="0"/>
        <w:spacing w:after="0" w:line="276" w:lineRule="auto"/>
        <w:ind w:left="1080"/>
        <w:textAlignment w:val="baseline"/>
        <w:rPr>
          <w:rFonts w:eastAsia="Calibr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
        <w:gridCol w:w="4513"/>
        <w:gridCol w:w="3425"/>
      </w:tblGrid>
      <w:tr w:rsidR="00306C8D" w:rsidRPr="001D15DB" w14:paraId="109B7C92" w14:textId="77777777" w:rsidTr="004954CE">
        <w:trPr>
          <w:jc w:val="center"/>
        </w:trPr>
        <w:tc>
          <w:tcPr>
            <w:tcW w:w="899" w:type="dxa"/>
            <w:vAlign w:val="center"/>
          </w:tcPr>
          <w:p w14:paraId="32DE1040"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Lp.</w:t>
            </w:r>
          </w:p>
        </w:tc>
        <w:tc>
          <w:tcPr>
            <w:tcW w:w="4513" w:type="dxa"/>
            <w:vAlign w:val="center"/>
          </w:tcPr>
          <w:p w14:paraId="0C223661"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Dochód miesięczny</w:t>
            </w:r>
            <w:r w:rsidRPr="001D15DB">
              <w:rPr>
                <w:rFonts w:eastAsia="Times New Roman" w:cstheme="minorHAnsi"/>
                <w:b/>
                <w:bCs/>
                <w:sz w:val="24"/>
                <w:szCs w:val="24"/>
              </w:rPr>
              <w:br/>
              <w:t xml:space="preserve"> w przeliczeniu na członka gospodarstwa domowego</w:t>
            </w:r>
          </w:p>
        </w:tc>
        <w:tc>
          <w:tcPr>
            <w:tcW w:w="3425" w:type="dxa"/>
            <w:vAlign w:val="center"/>
          </w:tcPr>
          <w:p w14:paraId="178CD386"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Wysokość oprocentowania pożyczki w stosunku rocznym</w:t>
            </w:r>
          </w:p>
        </w:tc>
      </w:tr>
      <w:tr w:rsidR="00306C8D" w:rsidRPr="001D15DB" w14:paraId="1469BD7B" w14:textId="77777777" w:rsidTr="004954CE">
        <w:trPr>
          <w:trHeight w:val="567"/>
          <w:jc w:val="center"/>
        </w:trPr>
        <w:tc>
          <w:tcPr>
            <w:tcW w:w="899" w:type="dxa"/>
            <w:vAlign w:val="center"/>
          </w:tcPr>
          <w:p w14:paraId="3806AC0E"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1.</w:t>
            </w:r>
          </w:p>
        </w:tc>
        <w:tc>
          <w:tcPr>
            <w:tcW w:w="4513" w:type="dxa"/>
            <w:vAlign w:val="center"/>
          </w:tcPr>
          <w:p w14:paraId="730365B5"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do 2 500 zł</w:t>
            </w:r>
          </w:p>
        </w:tc>
        <w:tc>
          <w:tcPr>
            <w:tcW w:w="3425" w:type="dxa"/>
            <w:vAlign w:val="center"/>
          </w:tcPr>
          <w:p w14:paraId="6461BBAD"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 xml:space="preserve">1% </w:t>
            </w:r>
          </w:p>
        </w:tc>
      </w:tr>
      <w:tr w:rsidR="00306C8D" w:rsidRPr="001D15DB" w14:paraId="1212F1C4" w14:textId="77777777" w:rsidTr="004954CE">
        <w:trPr>
          <w:trHeight w:val="567"/>
          <w:jc w:val="center"/>
        </w:trPr>
        <w:tc>
          <w:tcPr>
            <w:tcW w:w="899" w:type="dxa"/>
            <w:vAlign w:val="center"/>
          </w:tcPr>
          <w:p w14:paraId="3796E529"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2.</w:t>
            </w:r>
          </w:p>
        </w:tc>
        <w:tc>
          <w:tcPr>
            <w:tcW w:w="4513" w:type="dxa"/>
            <w:vAlign w:val="center"/>
          </w:tcPr>
          <w:p w14:paraId="32E228B1"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od 2 501 zł ÷ 3 500 zł</w:t>
            </w:r>
          </w:p>
        </w:tc>
        <w:tc>
          <w:tcPr>
            <w:tcW w:w="3425" w:type="dxa"/>
            <w:vAlign w:val="center"/>
          </w:tcPr>
          <w:p w14:paraId="293FDD21"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2%</w:t>
            </w:r>
          </w:p>
        </w:tc>
      </w:tr>
      <w:tr w:rsidR="00306C8D" w:rsidRPr="001D15DB" w14:paraId="55C2C2F5" w14:textId="77777777" w:rsidTr="004954CE">
        <w:trPr>
          <w:trHeight w:val="567"/>
          <w:jc w:val="center"/>
        </w:trPr>
        <w:tc>
          <w:tcPr>
            <w:tcW w:w="899" w:type="dxa"/>
            <w:vAlign w:val="center"/>
          </w:tcPr>
          <w:p w14:paraId="7BD19735"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3.</w:t>
            </w:r>
          </w:p>
        </w:tc>
        <w:tc>
          <w:tcPr>
            <w:tcW w:w="4513" w:type="dxa"/>
            <w:vAlign w:val="center"/>
          </w:tcPr>
          <w:p w14:paraId="32A2D67F" w14:textId="77777777" w:rsidR="00306C8D" w:rsidRPr="001D15DB" w:rsidRDefault="00306C8D" w:rsidP="001D15DB">
            <w:pPr>
              <w:tabs>
                <w:tab w:val="left" w:pos="284"/>
              </w:tabs>
              <w:spacing w:after="0" w:line="276" w:lineRule="auto"/>
              <w:ind w:right="-215" w:firstLine="34"/>
              <w:rPr>
                <w:rFonts w:eastAsia="Times New Roman" w:cstheme="minorHAnsi"/>
                <w:sz w:val="24"/>
                <w:szCs w:val="24"/>
              </w:rPr>
            </w:pPr>
            <w:r w:rsidRPr="001D15DB">
              <w:rPr>
                <w:rFonts w:eastAsia="Times New Roman" w:cstheme="minorHAnsi"/>
                <w:sz w:val="24"/>
                <w:szCs w:val="24"/>
              </w:rPr>
              <w:t>powyżej 3 500 zł</w:t>
            </w:r>
          </w:p>
        </w:tc>
        <w:tc>
          <w:tcPr>
            <w:tcW w:w="3425" w:type="dxa"/>
            <w:vAlign w:val="center"/>
          </w:tcPr>
          <w:p w14:paraId="2C0BA4EC"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3%</w:t>
            </w:r>
          </w:p>
        </w:tc>
      </w:tr>
    </w:tbl>
    <w:p w14:paraId="2BBE06F3" w14:textId="77777777" w:rsidR="00306C8D" w:rsidRPr="001D15DB" w:rsidRDefault="00306C8D" w:rsidP="001D15DB">
      <w:pPr>
        <w:suppressAutoHyphens/>
        <w:overflowPunct w:val="0"/>
        <w:autoSpaceDE w:val="0"/>
        <w:autoSpaceDN w:val="0"/>
        <w:spacing w:after="0" w:line="276" w:lineRule="auto"/>
        <w:ind w:left="1080"/>
        <w:textAlignment w:val="baseline"/>
        <w:rPr>
          <w:rFonts w:eastAsia="Calibri" w:cstheme="minorHAnsi"/>
          <w:sz w:val="24"/>
          <w:szCs w:val="24"/>
        </w:rPr>
      </w:pPr>
    </w:p>
    <w:p w14:paraId="341D58DE"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sz w:val="24"/>
          <w:szCs w:val="24"/>
        </w:rPr>
      </w:pPr>
      <w:r w:rsidRPr="001D15DB">
        <w:rPr>
          <w:rFonts w:eastAsia="Calibri" w:cstheme="minorHAnsi"/>
          <w:bCs/>
          <w:sz w:val="24"/>
          <w:szCs w:val="24"/>
        </w:rPr>
        <w:lastRenderedPageBreak/>
        <w:t>Przy krótszym okresie spłaty pożyczki, oprocentowanie ulega proporcjonalnemu zmniejszeniu.</w:t>
      </w:r>
    </w:p>
    <w:p w14:paraId="64E70627"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sz w:val="24"/>
          <w:szCs w:val="24"/>
        </w:rPr>
      </w:pPr>
      <w:r w:rsidRPr="001D15DB">
        <w:rPr>
          <w:rFonts w:eastAsia="Calibri" w:cstheme="minorHAnsi"/>
          <w:bCs/>
          <w:sz w:val="24"/>
          <w:szCs w:val="24"/>
        </w:rPr>
        <w:t>Wypłata przyznanej pożyczki mieszkaniowej następuje na konto Pożyczkobiorcy                          w ciągu tygodnia, licząc od dnia pozytywnego zaopiniowania.</w:t>
      </w:r>
    </w:p>
    <w:p w14:paraId="0DE3E747"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Spłata pożyczki powinna rozpocząć się nie później niż po upływie jednego miesiąca </w:t>
      </w:r>
      <w:r w:rsidRPr="001D15DB">
        <w:rPr>
          <w:rFonts w:eastAsia="Calibri" w:cstheme="minorHAnsi"/>
          <w:bCs/>
          <w:sz w:val="24"/>
          <w:szCs w:val="24"/>
        </w:rPr>
        <w:br/>
        <w:t>od jej udzielenia.</w:t>
      </w:r>
    </w:p>
    <w:p w14:paraId="7B2C51DA"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Pożyczka niespłacona staje się natychmiast wymagalna w przypadku rozwiązania stosunku pracy, z winy pracownika lub rozwiązania umowy o pracę przez pożyczkobiorcę w drodze wypowiedzenia.</w:t>
      </w:r>
    </w:p>
    <w:p w14:paraId="6E4D07D6"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Rozwiązanie umowy o pracę bez winy pracownika, może powodować zmiany warunków udzielenia pożyczki. W tym przypadku Pracodawca ustali w porozumieniu </w:t>
      </w:r>
      <w:r w:rsidRPr="001D15DB">
        <w:rPr>
          <w:rFonts w:eastAsia="Calibri" w:cstheme="minorHAnsi"/>
          <w:bCs/>
          <w:sz w:val="24"/>
          <w:szCs w:val="24"/>
        </w:rPr>
        <w:br/>
        <w:t>z pożyczkobiorcą sposób spłaty pożyczki.</w:t>
      </w:r>
    </w:p>
    <w:p w14:paraId="1C328F76"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W razie zaprzestania spłaty pożyczki przez pożyczkobiorcę, zobowiązanie spłaty przenosi się na poręczycieli.</w:t>
      </w:r>
    </w:p>
    <w:p w14:paraId="5AB658F0"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Ponowne ubieganie się o pożyczkę (złożenie wniosku) może nastąpić dopiero </w:t>
      </w:r>
      <w:r w:rsidRPr="001D15DB">
        <w:rPr>
          <w:rFonts w:eastAsia="Calibri" w:cstheme="minorHAnsi"/>
          <w:bCs/>
          <w:sz w:val="24"/>
          <w:szCs w:val="24"/>
        </w:rPr>
        <w:br/>
        <w:t>po spłacie poprzedniej.</w:t>
      </w:r>
    </w:p>
    <w:p w14:paraId="207EDC6F"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Pożyczki udzielane będą w miarę posiadanych środków Funduszu.</w:t>
      </w:r>
    </w:p>
    <w:p w14:paraId="3DDB61B8"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Pracodawca może podjąć decyzję o całkowitym umorzeniu pożyczki w przypadku zgonu pożyczkobiorcy.  </w:t>
      </w:r>
    </w:p>
    <w:p w14:paraId="2440B00E" w14:textId="77777777" w:rsidR="00306C8D" w:rsidRPr="001D15DB" w:rsidRDefault="00306C8D" w:rsidP="001D15DB">
      <w:pPr>
        <w:numPr>
          <w:ilvl w:val="0"/>
          <w:numId w:val="25"/>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Na wniosek pożyczkobiorcy spłata pożyczki może zostać zawieszona w następujących przypadkach:</w:t>
      </w:r>
    </w:p>
    <w:p w14:paraId="60AEC540" w14:textId="77777777" w:rsidR="00306C8D" w:rsidRPr="001D15DB" w:rsidRDefault="00306C8D" w:rsidP="001D15DB">
      <w:pPr>
        <w:numPr>
          <w:ilvl w:val="0"/>
          <w:numId w:val="40"/>
        </w:numPr>
        <w:spacing w:after="0" w:line="276" w:lineRule="auto"/>
        <w:rPr>
          <w:rFonts w:eastAsia="Times New Roman" w:cstheme="minorHAnsi"/>
          <w:sz w:val="24"/>
          <w:szCs w:val="24"/>
        </w:rPr>
      </w:pPr>
      <w:r w:rsidRPr="001D15DB">
        <w:rPr>
          <w:rFonts w:eastAsia="Times New Roman" w:cstheme="minorHAnsi"/>
          <w:sz w:val="24"/>
          <w:szCs w:val="24"/>
        </w:rPr>
        <w:t>urlop wychowawczy;</w:t>
      </w:r>
    </w:p>
    <w:p w14:paraId="2BD222FC" w14:textId="77777777" w:rsidR="00306C8D" w:rsidRPr="001D15DB" w:rsidRDefault="00306C8D" w:rsidP="001D15DB">
      <w:pPr>
        <w:numPr>
          <w:ilvl w:val="0"/>
          <w:numId w:val="40"/>
        </w:numPr>
        <w:spacing w:after="0" w:line="276" w:lineRule="auto"/>
        <w:rPr>
          <w:rFonts w:eastAsia="Times New Roman" w:cstheme="minorHAnsi"/>
          <w:sz w:val="24"/>
          <w:szCs w:val="24"/>
        </w:rPr>
      </w:pPr>
      <w:r w:rsidRPr="001D15DB">
        <w:rPr>
          <w:rFonts w:eastAsia="Times New Roman" w:cstheme="minorHAnsi"/>
          <w:sz w:val="24"/>
          <w:szCs w:val="24"/>
        </w:rPr>
        <w:t>długotrwała choroba pożyczkobiorcy;</w:t>
      </w:r>
    </w:p>
    <w:p w14:paraId="3794E541" w14:textId="77777777" w:rsidR="00306C8D" w:rsidRPr="001D15DB" w:rsidRDefault="00306C8D" w:rsidP="001D15DB">
      <w:pPr>
        <w:numPr>
          <w:ilvl w:val="0"/>
          <w:numId w:val="40"/>
        </w:numPr>
        <w:spacing w:after="0" w:line="276" w:lineRule="auto"/>
        <w:rPr>
          <w:rFonts w:eastAsia="Times New Roman" w:cstheme="minorHAnsi"/>
          <w:sz w:val="24"/>
          <w:szCs w:val="24"/>
        </w:rPr>
      </w:pPr>
      <w:r w:rsidRPr="001D15DB">
        <w:rPr>
          <w:rFonts w:eastAsia="Times New Roman" w:cstheme="minorHAnsi"/>
          <w:sz w:val="24"/>
          <w:szCs w:val="24"/>
        </w:rPr>
        <w:t>wystąpienie zdarzenia losowego, mającego wpływ na sytuację materialną pożyczkobiorcy.</w:t>
      </w:r>
    </w:p>
    <w:p w14:paraId="662BC1EE" w14:textId="77777777" w:rsidR="00306C8D" w:rsidRPr="001D15DB" w:rsidRDefault="00306C8D" w:rsidP="001D15DB">
      <w:pPr>
        <w:numPr>
          <w:ilvl w:val="0"/>
          <w:numId w:val="28"/>
        </w:numPr>
        <w:spacing w:before="240" w:after="0" w:line="276" w:lineRule="auto"/>
        <w:ind w:hanging="513"/>
        <w:rPr>
          <w:rFonts w:eastAsia="Times New Roman" w:cstheme="minorHAnsi"/>
          <w:b/>
          <w:bCs/>
          <w:sz w:val="24"/>
          <w:szCs w:val="24"/>
        </w:rPr>
      </w:pPr>
      <w:r w:rsidRPr="001D15DB">
        <w:rPr>
          <w:rFonts w:eastAsia="Times New Roman" w:cstheme="minorHAnsi"/>
          <w:b/>
          <w:bCs/>
          <w:sz w:val="24"/>
          <w:szCs w:val="24"/>
        </w:rPr>
        <w:t>Dofinansowanie do działalności kulturalno-oświatowej i sportowo-rekreacyjnej.</w:t>
      </w:r>
    </w:p>
    <w:p w14:paraId="37BBC711" w14:textId="77777777" w:rsidR="00306C8D" w:rsidRPr="001D15DB" w:rsidRDefault="00306C8D" w:rsidP="001D15DB">
      <w:pPr>
        <w:numPr>
          <w:ilvl w:val="0"/>
          <w:numId w:val="41"/>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W ramach działalności kulturalno-oświatowej przewiduje się: zakup biletów </w:t>
      </w:r>
      <w:r w:rsidRPr="001D15DB">
        <w:rPr>
          <w:rFonts w:eastAsia="Calibri" w:cstheme="minorHAnsi"/>
          <w:bCs/>
          <w:sz w:val="24"/>
          <w:szCs w:val="24"/>
        </w:rPr>
        <w:br/>
        <w:t>do muzeów, teatrów, kin, na festiwale, festyny, wystawy oraz organizowanie wycieczek w takie miejsca, wyjazd do spa, organizowanie imprez kulturalno-oświatowych, zakup kart przedpłaconych na działalność kulturalno-oświatową.</w:t>
      </w:r>
    </w:p>
    <w:p w14:paraId="39D09777" w14:textId="77777777" w:rsidR="00306C8D" w:rsidRPr="001D15DB" w:rsidRDefault="00306C8D" w:rsidP="001D15DB">
      <w:pPr>
        <w:numPr>
          <w:ilvl w:val="0"/>
          <w:numId w:val="41"/>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W ramach działalności sportowo-rekreacyjnej przewiduje się: wykupienie abonamentu np. na pływalnie, siłownię, fitness, zakup usług u wyspecjalizowanych organizatorów, finansowanie biletów na imprezy sportowe, organizowanie wycieczek, rajdów, imprez </w:t>
      </w:r>
      <w:r w:rsidRPr="001D15DB">
        <w:rPr>
          <w:rFonts w:eastAsia="Calibri" w:cstheme="minorHAnsi"/>
          <w:bCs/>
          <w:sz w:val="24"/>
          <w:szCs w:val="24"/>
        </w:rPr>
        <w:br/>
        <w:t xml:space="preserve">o charakterze sportowo-rekreacyjnym, np. spływy kajakowe, zakup kart przedpłaconych na działalność sportowo-rekreacyjną.  </w:t>
      </w:r>
    </w:p>
    <w:p w14:paraId="124F843A" w14:textId="77777777" w:rsidR="00306C8D" w:rsidRPr="001D15DB" w:rsidRDefault="00306C8D" w:rsidP="001D15DB">
      <w:pPr>
        <w:numPr>
          <w:ilvl w:val="0"/>
          <w:numId w:val="41"/>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Małżonkowie i konkubenci prowadzący wspólne gospodarstwo domowe ponoszą 50 % kosztów działalności kulturalno-oświatowej i sportowo-rekreacyjnej.</w:t>
      </w:r>
    </w:p>
    <w:p w14:paraId="0F90704D" w14:textId="77777777" w:rsidR="00306C8D" w:rsidRPr="001D15DB" w:rsidRDefault="00306C8D" w:rsidP="001D15DB">
      <w:pPr>
        <w:numPr>
          <w:ilvl w:val="0"/>
          <w:numId w:val="41"/>
        </w:numPr>
        <w:spacing w:after="200" w:line="276" w:lineRule="auto"/>
        <w:ind w:left="426" w:hanging="426"/>
        <w:rPr>
          <w:rFonts w:eastAsia="Calibri" w:cstheme="minorHAnsi"/>
          <w:bCs/>
          <w:sz w:val="24"/>
          <w:szCs w:val="24"/>
        </w:rPr>
      </w:pPr>
      <w:r w:rsidRPr="001D15DB">
        <w:rPr>
          <w:rFonts w:eastAsia="Calibri" w:cstheme="minorHAnsi"/>
          <w:bCs/>
          <w:sz w:val="24"/>
          <w:szCs w:val="24"/>
        </w:rPr>
        <w:t xml:space="preserve">Komisja Socjalna przed organizacją imprezy kulturalno-oświatowej oraz sportowo-rekreacyjnej,  uwzględniając wysokość posiadanych środków, każdorazowo proponuje </w:t>
      </w:r>
      <w:r w:rsidRPr="001D15DB">
        <w:rPr>
          <w:rFonts w:eastAsia="Calibri" w:cstheme="minorHAnsi"/>
          <w:bCs/>
          <w:sz w:val="24"/>
          <w:szCs w:val="24"/>
        </w:rPr>
        <w:lastRenderedPageBreak/>
        <w:t xml:space="preserve">wysokość bazowej kwoty dofinansowania, na podstawie której ustalana jest odpłatność </w:t>
      </w:r>
      <w:r w:rsidRPr="001D15DB">
        <w:rPr>
          <w:rFonts w:eastAsia="Calibri" w:cstheme="minorHAnsi"/>
          <w:bCs/>
          <w:sz w:val="24"/>
          <w:szCs w:val="24"/>
        </w:rPr>
        <w:br/>
        <w:t>za imprezę przez osobę uprawnioną.</w:t>
      </w:r>
      <w:bookmarkStart w:id="2" w:name="_Hlk74919953"/>
      <w:r w:rsidRPr="001D15DB">
        <w:rPr>
          <w:rFonts w:eastAsia="Calibri" w:cstheme="minorHAnsi"/>
          <w:bCs/>
          <w:sz w:val="24"/>
          <w:szCs w:val="24"/>
        </w:rPr>
        <w:t xml:space="preserve">  </w:t>
      </w:r>
    </w:p>
    <w:bookmarkEnd w:id="2"/>
    <w:p w14:paraId="3330FB89" w14:textId="77777777" w:rsidR="00306C8D" w:rsidRPr="001D15DB" w:rsidRDefault="00306C8D" w:rsidP="001D15DB">
      <w:pPr>
        <w:numPr>
          <w:ilvl w:val="0"/>
          <w:numId w:val="41"/>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Wysokość dofinansowania do działalności sportowo-rekreacyjnej i kulturalno</w:t>
      </w:r>
      <w:r w:rsidRPr="001D15DB">
        <w:rPr>
          <w:rFonts w:eastAsia="Calibri" w:cstheme="minorHAnsi"/>
          <w:bCs/>
          <w:sz w:val="24"/>
          <w:szCs w:val="24"/>
        </w:rPr>
        <w:br/>
        <w:t xml:space="preserve">- oświatowej wynosi: </w:t>
      </w:r>
    </w:p>
    <w:p w14:paraId="792E8E22" w14:textId="77777777" w:rsidR="00306C8D" w:rsidRPr="001D15DB" w:rsidRDefault="00306C8D" w:rsidP="001D15DB">
      <w:pPr>
        <w:suppressAutoHyphens/>
        <w:overflowPunct w:val="0"/>
        <w:autoSpaceDE w:val="0"/>
        <w:autoSpaceDN w:val="0"/>
        <w:spacing w:after="0" w:line="276" w:lineRule="auto"/>
        <w:textAlignment w:val="baseline"/>
        <w:rPr>
          <w:rFonts w:eastAsia="Calibr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0"/>
        <w:gridCol w:w="3880"/>
        <w:gridCol w:w="3119"/>
      </w:tblGrid>
      <w:tr w:rsidR="00306C8D" w:rsidRPr="001D15DB" w14:paraId="6091C8C5" w14:textId="77777777" w:rsidTr="004954CE">
        <w:trPr>
          <w:jc w:val="center"/>
        </w:trPr>
        <w:tc>
          <w:tcPr>
            <w:tcW w:w="700" w:type="dxa"/>
            <w:vAlign w:val="center"/>
          </w:tcPr>
          <w:p w14:paraId="0A0FA69D"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Lp.</w:t>
            </w:r>
          </w:p>
        </w:tc>
        <w:tc>
          <w:tcPr>
            <w:tcW w:w="3880" w:type="dxa"/>
            <w:vAlign w:val="center"/>
          </w:tcPr>
          <w:p w14:paraId="15779D0B"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Dochód miesięczny</w:t>
            </w:r>
            <w:r w:rsidRPr="001D15DB">
              <w:rPr>
                <w:rFonts w:eastAsia="Times New Roman" w:cstheme="minorHAnsi"/>
                <w:b/>
                <w:bCs/>
                <w:sz w:val="24"/>
                <w:szCs w:val="24"/>
              </w:rPr>
              <w:br/>
              <w:t xml:space="preserve"> w przeliczeniu na członka gospodarstwa domowego</w:t>
            </w:r>
          </w:p>
        </w:tc>
        <w:tc>
          <w:tcPr>
            <w:tcW w:w="3119" w:type="dxa"/>
            <w:vAlign w:val="center"/>
          </w:tcPr>
          <w:p w14:paraId="28D077D4"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 xml:space="preserve">Wysokość dofinansowania od wartości kwoty bazowej, o której mowa w pkt. 4 </w:t>
            </w:r>
          </w:p>
        </w:tc>
      </w:tr>
      <w:tr w:rsidR="00306C8D" w:rsidRPr="001D15DB" w14:paraId="6FAE775B" w14:textId="77777777" w:rsidTr="004954CE">
        <w:trPr>
          <w:trHeight w:val="567"/>
          <w:jc w:val="center"/>
        </w:trPr>
        <w:tc>
          <w:tcPr>
            <w:tcW w:w="700" w:type="dxa"/>
            <w:vAlign w:val="center"/>
          </w:tcPr>
          <w:p w14:paraId="53D015B7"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1.</w:t>
            </w:r>
          </w:p>
        </w:tc>
        <w:tc>
          <w:tcPr>
            <w:tcW w:w="3880" w:type="dxa"/>
            <w:vAlign w:val="center"/>
          </w:tcPr>
          <w:p w14:paraId="70DDF9C0"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do 2 500 zł</w:t>
            </w:r>
          </w:p>
        </w:tc>
        <w:tc>
          <w:tcPr>
            <w:tcW w:w="3119" w:type="dxa"/>
            <w:vAlign w:val="center"/>
          </w:tcPr>
          <w:p w14:paraId="0EC326A6"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 xml:space="preserve">100% </w:t>
            </w:r>
          </w:p>
        </w:tc>
      </w:tr>
      <w:tr w:rsidR="00306C8D" w:rsidRPr="001D15DB" w14:paraId="2588B908" w14:textId="77777777" w:rsidTr="004954CE">
        <w:trPr>
          <w:trHeight w:val="567"/>
          <w:jc w:val="center"/>
        </w:trPr>
        <w:tc>
          <w:tcPr>
            <w:tcW w:w="700" w:type="dxa"/>
            <w:vAlign w:val="center"/>
          </w:tcPr>
          <w:p w14:paraId="1325E216"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2.</w:t>
            </w:r>
          </w:p>
        </w:tc>
        <w:tc>
          <w:tcPr>
            <w:tcW w:w="3880" w:type="dxa"/>
            <w:vAlign w:val="center"/>
          </w:tcPr>
          <w:p w14:paraId="2F5F1B91"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 xml:space="preserve"> 2 501 zł ÷ 3 500 zł</w:t>
            </w:r>
          </w:p>
        </w:tc>
        <w:tc>
          <w:tcPr>
            <w:tcW w:w="3119" w:type="dxa"/>
            <w:vAlign w:val="center"/>
          </w:tcPr>
          <w:p w14:paraId="6EB15EA4"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80%</w:t>
            </w:r>
          </w:p>
        </w:tc>
      </w:tr>
      <w:tr w:rsidR="00306C8D" w:rsidRPr="001D15DB" w14:paraId="65B75991" w14:textId="77777777" w:rsidTr="004954CE">
        <w:trPr>
          <w:trHeight w:val="567"/>
          <w:jc w:val="center"/>
        </w:trPr>
        <w:tc>
          <w:tcPr>
            <w:tcW w:w="700" w:type="dxa"/>
            <w:vAlign w:val="center"/>
          </w:tcPr>
          <w:p w14:paraId="092F40B3"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3.</w:t>
            </w:r>
          </w:p>
        </w:tc>
        <w:tc>
          <w:tcPr>
            <w:tcW w:w="3880" w:type="dxa"/>
            <w:vAlign w:val="center"/>
          </w:tcPr>
          <w:p w14:paraId="74D1CFDE" w14:textId="77777777" w:rsidR="00306C8D" w:rsidRPr="001D15DB" w:rsidRDefault="00306C8D" w:rsidP="001D15DB">
            <w:pPr>
              <w:tabs>
                <w:tab w:val="left" w:pos="284"/>
              </w:tabs>
              <w:spacing w:after="0" w:line="276" w:lineRule="auto"/>
              <w:ind w:right="-215" w:firstLine="34"/>
              <w:rPr>
                <w:rFonts w:eastAsia="Times New Roman" w:cstheme="minorHAnsi"/>
                <w:sz w:val="24"/>
                <w:szCs w:val="24"/>
              </w:rPr>
            </w:pPr>
            <w:r w:rsidRPr="001D15DB">
              <w:rPr>
                <w:rFonts w:eastAsia="Times New Roman" w:cstheme="minorHAnsi"/>
                <w:sz w:val="24"/>
                <w:szCs w:val="24"/>
              </w:rPr>
              <w:t>powyżej 3 500 zł</w:t>
            </w:r>
          </w:p>
        </w:tc>
        <w:tc>
          <w:tcPr>
            <w:tcW w:w="3119" w:type="dxa"/>
            <w:vAlign w:val="center"/>
          </w:tcPr>
          <w:p w14:paraId="3020645F"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60%</w:t>
            </w:r>
          </w:p>
        </w:tc>
      </w:tr>
    </w:tbl>
    <w:p w14:paraId="45F3ED56" w14:textId="77777777" w:rsidR="00306C8D" w:rsidRPr="001D15DB" w:rsidRDefault="00306C8D" w:rsidP="001D15DB">
      <w:pPr>
        <w:numPr>
          <w:ilvl w:val="0"/>
          <w:numId w:val="28"/>
        </w:numPr>
        <w:spacing w:after="0" w:line="276" w:lineRule="auto"/>
        <w:ind w:left="426" w:hanging="142"/>
        <w:rPr>
          <w:rFonts w:eastAsia="Times New Roman" w:cstheme="minorHAnsi"/>
          <w:b/>
          <w:bCs/>
          <w:sz w:val="24"/>
          <w:szCs w:val="24"/>
        </w:rPr>
      </w:pPr>
      <w:r w:rsidRPr="001D15DB">
        <w:rPr>
          <w:rFonts w:eastAsia="Times New Roman" w:cstheme="minorHAnsi"/>
          <w:b/>
          <w:bCs/>
          <w:sz w:val="24"/>
          <w:szCs w:val="24"/>
        </w:rPr>
        <w:t>Bezzwrotne zapomogi dla pracowników jednostki, emerytów i rencistów – byłych pracowników, dotkniętych wypadkami losowymi lub znajdującymi się w szczególnie trudnej sytuacji materialnej.</w:t>
      </w:r>
    </w:p>
    <w:p w14:paraId="39E4D808" w14:textId="77777777" w:rsidR="00306C8D" w:rsidRPr="001D15DB" w:rsidRDefault="00306C8D" w:rsidP="001D15DB">
      <w:pPr>
        <w:tabs>
          <w:tab w:val="left" w:pos="284"/>
        </w:tabs>
        <w:spacing w:after="0" w:line="276" w:lineRule="auto"/>
        <w:ind w:left="709"/>
        <w:rPr>
          <w:rFonts w:eastAsia="Times New Roman" w:cstheme="minorHAnsi"/>
          <w:sz w:val="24"/>
          <w:szCs w:val="24"/>
        </w:rPr>
      </w:pPr>
    </w:p>
    <w:p w14:paraId="1B4071F1" w14:textId="77777777" w:rsidR="00306C8D" w:rsidRPr="001D15DB" w:rsidRDefault="00306C8D" w:rsidP="001D15DB">
      <w:pPr>
        <w:numPr>
          <w:ilvl w:val="0"/>
          <w:numId w:val="29"/>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Zapomoga jest świadczeniem pieniężnym całkowicie bezzwrotnym.</w:t>
      </w:r>
    </w:p>
    <w:p w14:paraId="125FE586" w14:textId="77777777" w:rsidR="00306C8D" w:rsidRPr="001D15DB" w:rsidRDefault="00306C8D" w:rsidP="001D15DB">
      <w:pPr>
        <w:numPr>
          <w:ilvl w:val="0"/>
          <w:numId w:val="29"/>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Zapomogi dzieli się na zapomogi z tytułu:</w:t>
      </w:r>
    </w:p>
    <w:p w14:paraId="03F4F749" w14:textId="77777777" w:rsidR="00306C8D" w:rsidRPr="001D15DB" w:rsidRDefault="00306C8D" w:rsidP="001D15DB">
      <w:pPr>
        <w:numPr>
          <w:ilvl w:val="0"/>
          <w:numId w:val="42"/>
        </w:numPr>
        <w:spacing w:after="0" w:line="276" w:lineRule="auto"/>
        <w:rPr>
          <w:rFonts w:eastAsia="Times New Roman" w:cstheme="minorHAnsi"/>
          <w:sz w:val="24"/>
          <w:szCs w:val="24"/>
        </w:rPr>
      </w:pPr>
      <w:r w:rsidRPr="001D15DB">
        <w:rPr>
          <w:rFonts w:eastAsia="Times New Roman" w:cstheme="minorHAnsi"/>
          <w:sz w:val="24"/>
          <w:szCs w:val="24"/>
        </w:rPr>
        <w:t xml:space="preserve">zwiększonych wydatków na cele zdrowotne (długotrwałe choroby przewlekłe, nieuleczalne lub wrodzone choroby), </w:t>
      </w:r>
    </w:p>
    <w:p w14:paraId="67BF686F" w14:textId="77777777" w:rsidR="00306C8D" w:rsidRPr="001D15DB" w:rsidRDefault="00306C8D" w:rsidP="001D15DB">
      <w:pPr>
        <w:numPr>
          <w:ilvl w:val="0"/>
          <w:numId w:val="42"/>
        </w:numPr>
        <w:spacing w:after="0" w:line="276" w:lineRule="auto"/>
        <w:rPr>
          <w:rFonts w:eastAsia="Times New Roman" w:cstheme="minorHAnsi"/>
          <w:sz w:val="24"/>
          <w:szCs w:val="24"/>
        </w:rPr>
      </w:pPr>
      <w:r w:rsidRPr="001D15DB">
        <w:rPr>
          <w:rFonts w:eastAsia="Times New Roman" w:cstheme="minorHAnsi"/>
          <w:sz w:val="24"/>
          <w:szCs w:val="24"/>
        </w:rPr>
        <w:t xml:space="preserve">trudnej sytuacji losowej (nagłe, niespodziewane zdarzenia, których nie można przewidzieć, a które są niezależne od człowieka, nawet przy zachowaniu należytej staranności, jak np. kradzieże, włamania), </w:t>
      </w:r>
    </w:p>
    <w:p w14:paraId="35165E04" w14:textId="77777777" w:rsidR="00306C8D" w:rsidRPr="001D15DB" w:rsidRDefault="00306C8D" w:rsidP="001D15DB">
      <w:pPr>
        <w:numPr>
          <w:ilvl w:val="0"/>
          <w:numId w:val="42"/>
        </w:numPr>
        <w:spacing w:after="0" w:line="276" w:lineRule="auto"/>
        <w:rPr>
          <w:rFonts w:eastAsia="Times New Roman" w:cstheme="minorHAnsi"/>
          <w:sz w:val="24"/>
          <w:szCs w:val="24"/>
        </w:rPr>
      </w:pPr>
      <w:r w:rsidRPr="001D15DB">
        <w:rPr>
          <w:rFonts w:eastAsia="Times New Roman" w:cstheme="minorHAnsi"/>
          <w:sz w:val="24"/>
          <w:szCs w:val="24"/>
        </w:rPr>
        <w:t xml:space="preserve">trudnej sytuacji materialnej (utrata pracy itp.). </w:t>
      </w:r>
    </w:p>
    <w:p w14:paraId="36218450" w14:textId="77777777" w:rsidR="00306C8D" w:rsidRPr="001D15DB" w:rsidRDefault="00306C8D" w:rsidP="001D15DB">
      <w:pPr>
        <w:numPr>
          <w:ilvl w:val="0"/>
          <w:numId w:val="29"/>
        </w:numPr>
        <w:suppressAutoHyphens/>
        <w:overflowPunct w:val="0"/>
        <w:autoSpaceDE w:val="0"/>
        <w:autoSpaceDN w:val="0"/>
        <w:spacing w:after="0" w:line="276" w:lineRule="auto"/>
        <w:ind w:left="426" w:hanging="426"/>
        <w:textAlignment w:val="baseline"/>
        <w:rPr>
          <w:rFonts w:eastAsia="Calibri" w:cstheme="minorHAnsi"/>
          <w:bCs/>
          <w:color w:val="000000"/>
          <w:sz w:val="24"/>
          <w:szCs w:val="24"/>
        </w:rPr>
      </w:pPr>
      <w:r w:rsidRPr="001D15DB">
        <w:rPr>
          <w:rFonts w:eastAsia="Calibri" w:cstheme="minorHAnsi"/>
          <w:bCs/>
          <w:color w:val="000000"/>
          <w:sz w:val="24"/>
          <w:szCs w:val="24"/>
        </w:rPr>
        <w:t>Warunkiem uzyskania zapomogi jest złożenie wniosku (załącznik nr 6) oraz dokumentów potwierdzających trudną sytuację losową.</w:t>
      </w:r>
    </w:p>
    <w:p w14:paraId="3EDDC821" w14:textId="77777777" w:rsidR="00306C8D" w:rsidRPr="001D15DB" w:rsidRDefault="00306C8D" w:rsidP="001D15DB">
      <w:pPr>
        <w:numPr>
          <w:ilvl w:val="0"/>
          <w:numId w:val="29"/>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Zapomoga ma charakter uznaniowy, a jej wysokość określa Pracodawca biorąc </w:t>
      </w:r>
      <w:r w:rsidRPr="001D15DB">
        <w:rPr>
          <w:rFonts w:eastAsia="Calibri" w:cstheme="minorHAnsi"/>
          <w:bCs/>
          <w:sz w:val="24"/>
          <w:szCs w:val="24"/>
        </w:rPr>
        <w:br/>
        <w:t>pod uwagę indywidualną sytuację wnioskodawcy.</w:t>
      </w:r>
    </w:p>
    <w:p w14:paraId="5D537660" w14:textId="77777777" w:rsidR="00306C8D" w:rsidRPr="001D15DB" w:rsidRDefault="00306C8D" w:rsidP="001D15DB">
      <w:pPr>
        <w:numPr>
          <w:ilvl w:val="0"/>
          <w:numId w:val="29"/>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Uprawniona osoba może skorzystać z bezzwrotnej zapomogi maksymalnie dwa razy </w:t>
      </w:r>
      <w:r w:rsidRPr="001D15DB">
        <w:rPr>
          <w:rFonts w:eastAsia="Calibri" w:cstheme="minorHAnsi"/>
          <w:bCs/>
          <w:sz w:val="24"/>
          <w:szCs w:val="24"/>
        </w:rPr>
        <w:br/>
        <w:t>w roku.</w:t>
      </w:r>
    </w:p>
    <w:p w14:paraId="65F1194A" w14:textId="77777777" w:rsidR="00306C8D" w:rsidRPr="001D15DB" w:rsidRDefault="00306C8D" w:rsidP="001D15DB">
      <w:pPr>
        <w:tabs>
          <w:tab w:val="left" w:pos="284"/>
        </w:tabs>
        <w:spacing w:after="0" w:line="276" w:lineRule="auto"/>
        <w:ind w:left="720"/>
        <w:rPr>
          <w:rFonts w:eastAsia="Times New Roman" w:cstheme="minorHAnsi"/>
          <w:sz w:val="24"/>
          <w:szCs w:val="24"/>
        </w:rPr>
      </w:pPr>
    </w:p>
    <w:p w14:paraId="6D64129B" w14:textId="77777777" w:rsidR="00306C8D" w:rsidRPr="001D15DB" w:rsidRDefault="00306C8D" w:rsidP="001D15DB">
      <w:pPr>
        <w:numPr>
          <w:ilvl w:val="0"/>
          <w:numId w:val="28"/>
        </w:numPr>
        <w:tabs>
          <w:tab w:val="left" w:pos="284"/>
        </w:tabs>
        <w:spacing w:after="0" w:line="276" w:lineRule="auto"/>
        <w:rPr>
          <w:rFonts w:eastAsia="Times New Roman" w:cstheme="minorHAnsi"/>
          <w:b/>
          <w:bCs/>
          <w:color w:val="000000"/>
          <w:sz w:val="24"/>
          <w:szCs w:val="24"/>
        </w:rPr>
      </w:pPr>
      <w:r w:rsidRPr="001D15DB">
        <w:rPr>
          <w:rFonts w:eastAsia="Times New Roman" w:cstheme="minorHAnsi"/>
          <w:b/>
          <w:bCs/>
          <w:color w:val="000000"/>
          <w:sz w:val="24"/>
          <w:szCs w:val="24"/>
        </w:rPr>
        <w:t>Dofinansowanie kosztu pobytu dziecka w instytucji opieki nad dziećmi w wieku do lat 3.</w:t>
      </w:r>
    </w:p>
    <w:p w14:paraId="332AC5A3" w14:textId="77777777" w:rsidR="00306C8D" w:rsidRPr="001D15DB" w:rsidRDefault="00306C8D" w:rsidP="001D15DB">
      <w:pPr>
        <w:tabs>
          <w:tab w:val="left" w:pos="284"/>
        </w:tabs>
        <w:spacing w:after="0" w:line="276" w:lineRule="auto"/>
        <w:ind w:left="360"/>
        <w:rPr>
          <w:rFonts w:eastAsia="Calibri" w:cstheme="minorHAnsi"/>
          <w:bCs/>
          <w:color w:val="000000"/>
          <w:sz w:val="24"/>
          <w:szCs w:val="24"/>
        </w:rPr>
      </w:pPr>
    </w:p>
    <w:p w14:paraId="0AECC57A" w14:textId="77777777" w:rsidR="00306C8D" w:rsidRPr="001D15DB" w:rsidRDefault="00306C8D" w:rsidP="001D15DB">
      <w:pPr>
        <w:numPr>
          <w:ilvl w:val="3"/>
          <w:numId w:val="29"/>
        </w:numPr>
        <w:spacing w:after="0" w:line="276" w:lineRule="auto"/>
        <w:ind w:left="426" w:hanging="426"/>
        <w:rPr>
          <w:rFonts w:eastAsia="Times New Roman" w:cstheme="minorHAnsi"/>
          <w:bCs/>
          <w:color w:val="000000"/>
          <w:sz w:val="24"/>
          <w:szCs w:val="24"/>
        </w:rPr>
      </w:pPr>
      <w:r w:rsidRPr="001D15DB">
        <w:rPr>
          <w:rFonts w:eastAsia="Times New Roman" w:cstheme="minorHAnsi"/>
          <w:color w:val="000000"/>
          <w:sz w:val="24"/>
          <w:szCs w:val="24"/>
        </w:rPr>
        <w:t>Uprawnionymi do dofinansowania do kosztów pobytu dzieci w instytucjach opieki nad dziećmi w wieku do lat 3 są pracownicy posiadający dzieci w tym wieku.</w:t>
      </w:r>
    </w:p>
    <w:p w14:paraId="386082D5" w14:textId="77777777" w:rsidR="00306C8D" w:rsidRPr="001D15DB" w:rsidRDefault="00306C8D" w:rsidP="001D15DB">
      <w:pPr>
        <w:numPr>
          <w:ilvl w:val="3"/>
          <w:numId w:val="29"/>
        </w:numPr>
        <w:spacing w:after="0" w:line="276" w:lineRule="auto"/>
        <w:ind w:left="426" w:hanging="426"/>
        <w:rPr>
          <w:rFonts w:eastAsia="Times New Roman" w:cstheme="minorHAnsi"/>
          <w:bCs/>
          <w:color w:val="000000"/>
          <w:sz w:val="24"/>
          <w:szCs w:val="24"/>
        </w:rPr>
      </w:pPr>
      <w:r w:rsidRPr="001D15DB">
        <w:rPr>
          <w:rFonts w:eastAsia="Times New Roman" w:cstheme="minorHAnsi"/>
          <w:color w:val="000000"/>
          <w:sz w:val="24"/>
          <w:szCs w:val="24"/>
        </w:rPr>
        <w:t xml:space="preserve">Wysokość dofinansowania do kosztów pobytu dzieci w instytucjach opieki nad dziećmi w wieku do lat 3 jest uzależniona od dochodu </w:t>
      </w:r>
      <w:r w:rsidRPr="001D15DB">
        <w:rPr>
          <w:rFonts w:eastAsia="Calibri" w:cstheme="minorHAnsi"/>
          <w:bCs/>
          <w:color w:val="000000"/>
          <w:sz w:val="24"/>
          <w:szCs w:val="24"/>
        </w:rPr>
        <w:t>przypadającego na jednego członka gospodarstwa domowego i wynosi:</w:t>
      </w:r>
    </w:p>
    <w:p w14:paraId="6987F0FB" w14:textId="77777777" w:rsidR="00306C8D" w:rsidRPr="001D15DB" w:rsidRDefault="00306C8D" w:rsidP="001D15DB">
      <w:pPr>
        <w:spacing w:after="0" w:line="276" w:lineRule="auto"/>
        <w:rPr>
          <w:rFonts w:eastAsia="Times New Roman" w:cstheme="minorHAnsi"/>
          <w:bCs/>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807"/>
        <w:gridCol w:w="5442"/>
      </w:tblGrid>
      <w:tr w:rsidR="00306C8D" w:rsidRPr="001D15DB" w14:paraId="57AB5B4E" w14:textId="77777777" w:rsidTr="004954CE">
        <w:tc>
          <w:tcPr>
            <w:tcW w:w="709" w:type="dxa"/>
            <w:vAlign w:val="center"/>
          </w:tcPr>
          <w:p w14:paraId="1F34B197" w14:textId="77777777" w:rsidR="00306C8D" w:rsidRPr="001D15DB" w:rsidRDefault="00306C8D" w:rsidP="001D15DB">
            <w:pPr>
              <w:tabs>
                <w:tab w:val="left" w:pos="284"/>
              </w:tabs>
              <w:spacing w:after="0" w:line="276" w:lineRule="auto"/>
              <w:rPr>
                <w:rFonts w:eastAsia="Times New Roman" w:cstheme="minorHAnsi"/>
                <w:b/>
                <w:bCs/>
                <w:color w:val="000000"/>
                <w:sz w:val="24"/>
                <w:szCs w:val="24"/>
              </w:rPr>
            </w:pPr>
            <w:r w:rsidRPr="001D15DB">
              <w:rPr>
                <w:rFonts w:eastAsia="Times New Roman" w:cstheme="minorHAnsi"/>
                <w:b/>
                <w:bCs/>
                <w:color w:val="000000"/>
                <w:sz w:val="24"/>
                <w:szCs w:val="24"/>
              </w:rPr>
              <w:t>Lp.</w:t>
            </w:r>
          </w:p>
        </w:tc>
        <w:tc>
          <w:tcPr>
            <w:tcW w:w="2835" w:type="dxa"/>
            <w:vAlign w:val="center"/>
          </w:tcPr>
          <w:p w14:paraId="438DB09E" w14:textId="77777777" w:rsidR="00306C8D" w:rsidRPr="001D15DB" w:rsidRDefault="00306C8D" w:rsidP="001D15DB">
            <w:pPr>
              <w:tabs>
                <w:tab w:val="left" w:pos="284"/>
              </w:tabs>
              <w:spacing w:after="0" w:line="276" w:lineRule="auto"/>
              <w:rPr>
                <w:rFonts w:eastAsia="Times New Roman" w:cstheme="minorHAnsi"/>
                <w:b/>
                <w:bCs/>
                <w:color w:val="000000"/>
                <w:sz w:val="24"/>
                <w:szCs w:val="24"/>
              </w:rPr>
            </w:pPr>
            <w:r w:rsidRPr="001D15DB">
              <w:rPr>
                <w:rFonts w:eastAsia="Times New Roman" w:cstheme="minorHAnsi"/>
                <w:b/>
                <w:bCs/>
                <w:color w:val="000000"/>
                <w:sz w:val="24"/>
                <w:szCs w:val="24"/>
              </w:rPr>
              <w:t>Dochód miesięczny</w:t>
            </w:r>
            <w:r w:rsidRPr="001D15DB">
              <w:rPr>
                <w:rFonts w:eastAsia="Times New Roman" w:cstheme="minorHAnsi"/>
                <w:b/>
                <w:bCs/>
                <w:color w:val="000000"/>
                <w:sz w:val="24"/>
                <w:szCs w:val="24"/>
              </w:rPr>
              <w:br/>
              <w:t xml:space="preserve"> w przeliczeniu na członka gospodarstwa domowego</w:t>
            </w:r>
          </w:p>
        </w:tc>
        <w:tc>
          <w:tcPr>
            <w:tcW w:w="5528" w:type="dxa"/>
            <w:vAlign w:val="center"/>
          </w:tcPr>
          <w:p w14:paraId="2DBD712B" w14:textId="77777777" w:rsidR="00306C8D" w:rsidRPr="001D15DB" w:rsidRDefault="00306C8D" w:rsidP="001D15DB">
            <w:pPr>
              <w:tabs>
                <w:tab w:val="left" w:pos="284"/>
              </w:tabs>
              <w:spacing w:after="0" w:line="276" w:lineRule="auto"/>
              <w:rPr>
                <w:rFonts w:eastAsia="Times New Roman" w:cstheme="minorHAnsi"/>
                <w:b/>
                <w:bCs/>
                <w:color w:val="000000"/>
                <w:sz w:val="24"/>
                <w:szCs w:val="24"/>
              </w:rPr>
            </w:pPr>
            <w:r w:rsidRPr="001D15DB">
              <w:rPr>
                <w:rFonts w:eastAsia="Times New Roman" w:cstheme="minorHAnsi"/>
                <w:b/>
                <w:bCs/>
                <w:color w:val="000000"/>
                <w:sz w:val="24"/>
                <w:szCs w:val="24"/>
              </w:rPr>
              <w:t>Wysokość dofinansowania</w:t>
            </w:r>
          </w:p>
        </w:tc>
      </w:tr>
      <w:tr w:rsidR="00306C8D" w:rsidRPr="001D15DB" w14:paraId="796EF90D" w14:textId="77777777" w:rsidTr="004954CE">
        <w:trPr>
          <w:trHeight w:val="567"/>
        </w:trPr>
        <w:tc>
          <w:tcPr>
            <w:tcW w:w="709" w:type="dxa"/>
            <w:vAlign w:val="center"/>
          </w:tcPr>
          <w:p w14:paraId="63DAB39F" w14:textId="77777777" w:rsidR="00306C8D" w:rsidRPr="001D15DB" w:rsidRDefault="00306C8D" w:rsidP="001D15DB">
            <w:pPr>
              <w:tabs>
                <w:tab w:val="left" w:pos="284"/>
              </w:tabs>
              <w:spacing w:after="0" w:line="276" w:lineRule="auto"/>
              <w:rPr>
                <w:rFonts w:eastAsia="Times New Roman" w:cstheme="minorHAnsi"/>
                <w:bCs/>
                <w:color w:val="000000"/>
                <w:sz w:val="24"/>
                <w:szCs w:val="24"/>
              </w:rPr>
            </w:pPr>
            <w:r w:rsidRPr="001D15DB">
              <w:rPr>
                <w:rFonts w:eastAsia="Times New Roman" w:cstheme="minorHAnsi"/>
                <w:bCs/>
                <w:color w:val="000000"/>
                <w:sz w:val="24"/>
                <w:szCs w:val="24"/>
              </w:rPr>
              <w:t>1.</w:t>
            </w:r>
          </w:p>
        </w:tc>
        <w:tc>
          <w:tcPr>
            <w:tcW w:w="2835" w:type="dxa"/>
            <w:vAlign w:val="center"/>
          </w:tcPr>
          <w:p w14:paraId="5829D75E"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do 2 500 zł</w:t>
            </w:r>
          </w:p>
        </w:tc>
        <w:tc>
          <w:tcPr>
            <w:tcW w:w="5528" w:type="dxa"/>
            <w:vAlign w:val="center"/>
          </w:tcPr>
          <w:p w14:paraId="58380D9C"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50% miesięcznego kosztu pobytu dziecka</w:t>
            </w:r>
            <w:r w:rsidRPr="001D15DB">
              <w:rPr>
                <w:rFonts w:eastAsia="Times New Roman" w:cstheme="minorHAnsi"/>
                <w:color w:val="000000"/>
                <w:sz w:val="24"/>
                <w:szCs w:val="24"/>
              </w:rPr>
              <w:br/>
              <w:t xml:space="preserve"> w instytucji opieki nad dziećmi do lat 3, nie więcej niż 2000,00 zł w skali roku na gospodarstwo domowe</w:t>
            </w:r>
          </w:p>
        </w:tc>
      </w:tr>
      <w:tr w:rsidR="00306C8D" w:rsidRPr="001D15DB" w14:paraId="4C4112F4" w14:textId="77777777" w:rsidTr="004954CE">
        <w:trPr>
          <w:trHeight w:val="567"/>
        </w:trPr>
        <w:tc>
          <w:tcPr>
            <w:tcW w:w="709" w:type="dxa"/>
            <w:vAlign w:val="center"/>
          </w:tcPr>
          <w:p w14:paraId="315570B1" w14:textId="77777777" w:rsidR="00306C8D" w:rsidRPr="001D15DB" w:rsidRDefault="00306C8D" w:rsidP="001D15DB">
            <w:pPr>
              <w:tabs>
                <w:tab w:val="left" w:pos="284"/>
              </w:tabs>
              <w:spacing w:after="0" w:line="276" w:lineRule="auto"/>
              <w:rPr>
                <w:rFonts w:eastAsia="Times New Roman" w:cstheme="minorHAnsi"/>
                <w:bCs/>
                <w:color w:val="000000"/>
                <w:sz w:val="24"/>
                <w:szCs w:val="24"/>
              </w:rPr>
            </w:pPr>
            <w:r w:rsidRPr="001D15DB">
              <w:rPr>
                <w:rFonts w:eastAsia="Times New Roman" w:cstheme="minorHAnsi"/>
                <w:bCs/>
                <w:color w:val="000000"/>
                <w:sz w:val="24"/>
                <w:szCs w:val="24"/>
              </w:rPr>
              <w:t>2.</w:t>
            </w:r>
          </w:p>
        </w:tc>
        <w:tc>
          <w:tcPr>
            <w:tcW w:w="2835" w:type="dxa"/>
            <w:vAlign w:val="center"/>
          </w:tcPr>
          <w:p w14:paraId="35D111A4"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2 501 zł ÷ 3 500 zł</w:t>
            </w:r>
          </w:p>
        </w:tc>
        <w:tc>
          <w:tcPr>
            <w:tcW w:w="5528" w:type="dxa"/>
            <w:vAlign w:val="center"/>
          </w:tcPr>
          <w:p w14:paraId="309E842A"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40% miesięcznego kosztu pobytu dziecka</w:t>
            </w:r>
            <w:r w:rsidRPr="001D15DB">
              <w:rPr>
                <w:rFonts w:eastAsia="Times New Roman" w:cstheme="minorHAnsi"/>
                <w:color w:val="000000"/>
                <w:sz w:val="24"/>
                <w:szCs w:val="24"/>
              </w:rPr>
              <w:br/>
              <w:t xml:space="preserve"> w instytucji opieki nad dziećmi do lat 3, nie więcej niż 2000,00 zł w skali roku na gospodarstwo domowe</w:t>
            </w:r>
          </w:p>
        </w:tc>
      </w:tr>
      <w:tr w:rsidR="00306C8D" w:rsidRPr="001D15DB" w14:paraId="7AB0BEB8" w14:textId="77777777" w:rsidTr="004954CE">
        <w:trPr>
          <w:trHeight w:val="567"/>
        </w:trPr>
        <w:tc>
          <w:tcPr>
            <w:tcW w:w="709" w:type="dxa"/>
            <w:vAlign w:val="center"/>
          </w:tcPr>
          <w:p w14:paraId="7780F05B" w14:textId="77777777" w:rsidR="00306C8D" w:rsidRPr="001D15DB" w:rsidRDefault="00306C8D" w:rsidP="001D15DB">
            <w:pPr>
              <w:tabs>
                <w:tab w:val="left" w:pos="284"/>
              </w:tabs>
              <w:spacing w:after="0" w:line="276" w:lineRule="auto"/>
              <w:rPr>
                <w:rFonts w:eastAsia="Times New Roman" w:cstheme="minorHAnsi"/>
                <w:bCs/>
                <w:color w:val="000000"/>
                <w:sz w:val="24"/>
                <w:szCs w:val="24"/>
              </w:rPr>
            </w:pPr>
            <w:r w:rsidRPr="001D15DB">
              <w:rPr>
                <w:rFonts w:eastAsia="Times New Roman" w:cstheme="minorHAnsi"/>
                <w:bCs/>
                <w:color w:val="000000"/>
                <w:sz w:val="24"/>
                <w:szCs w:val="24"/>
              </w:rPr>
              <w:t>3.</w:t>
            </w:r>
          </w:p>
        </w:tc>
        <w:tc>
          <w:tcPr>
            <w:tcW w:w="2835" w:type="dxa"/>
            <w:vAlign w:val="center"/>
          </w:tcPr>
          <w:p w14:paraId="2891CB78" w14:textId="77777777" w:rsidR="00306C8D" w:rsidRPr="001D15DB" w:rsidRDefault="00306C8D" w:rsidP="001D15DB">
            <w:pPr>
              <w:tabs>
                <w:tab w:val="left" w:pos="284"/>
              </w:tabs>
              <w:spacing w:after="0" w:line="276" w:lineRule="auto"/>
              <w:ind w:right="-215" w:firstLine="34"/>
              <w:rPr>
                <w:rFonts w:eastAsia="Times New Roman" w:cstheme="minorHAnsi"/>
                <w:color w:val="000000"/>
                <w:sz w:val="24"/>
                <w:szCs w:val="24"/>
              </w:rPr>
            </w:pPr>
            <w:r w:rsidRPr="001D15DB">
              <w:rPr>
                <w:rFonts w:eastAsia="Times New Roman" w:cstheme="minorHAnsi"/>
                <w:color w:val="000000"/>
                <w:sz w:val="24"/>
                <w:szCs w:val="24"/>
              </w:rPr>
              <w:t>powyżej 3 500 zł</w:t>
            </w:r>
          </w:p>
        </w:tc>
        <w:tc>
          <w:tcPr>
            <w:tcW w:w="5528" w:type="dxa"/>
            <w:vAlign w:val="center"/>
          </w:tcPr>
          <w:p w14:paraId="7C379088" w14:textId="77777777" w:rsidR="00306C8D" w:rsidRPr="001D15DB" w:rsidRDefault="00306C8D" w:rsidP="001D15DB">
            <w:pPr>
              <w:tabs>
                <w:tab w:val="left" w:pos="284"/>
              </w:tabs>
              <w:spacing w:after="0" w:line="276" w:lineRule="auto"/>
              <w:rPr>
                <w:rFonts w:eastAsia="Times New Roman" w:cstheme="minorHAnsi"/>
                <w:color w:val="000000"/>
                <w:sz w:val="24"/>
                <w:szCs w:val="24"/>
              </w:rPr>
            </w:pPr>
            <w:r w:rsidRPr="001D15DB">
              <w:rPr>
                <w:rFonts w:eastAsia="Times New Roman" w:cstheme="minorHAnsi"/>
                <w:color w:val="000000"/>
                <w:sz w:val="24"/>
                <w:szCs w:val="24"/>
              </w:rPr>
              <w:t>30% miesięcznego kosztu pobytu dziecka</w:t>
            </w:r>
            <w:r w:rsidRPr="001D15DB">
              <w:rPr>
                <w:rFonts w:eastAsia="Times New Roman" w:cstheme="minorHAnsi"/>
                <w:color w:val="000000"/>
                <w:sz w:val="24"/>
                <w:szCs w:val="24"/>
              </w:rPr>
              <w:br/>
              <w:t xml:space="preserve"> w instytucji opieki nad dziećmi do lat 3, nie więcej niż 2000,00 zł w skali roku na gospodarstwo domowe</w:t>
            </w:r>
          </w:p>
        </w:tc>
      </w:tr>
    </w:tbl>
    <w:p w14:paraId="699188DC" w14:textId="77777777" w:rsidR="00306C8D" w:rsidRPr="001D15DB" w:rsidRDefault="00306C8D" w:rsidP="001D15DB">
      <w:pPr>
        <w:numPr>
          <w:ilvl w:val="3"/>
          <w:numId w:val="29"/>
        </w:numPr>
        <w:spacing w:before="240" w:after="0" w:line="276" w:lineRule="auto"/>
        <w:ind w:left="426" w:hanging="426"/>
        <w:rPr>
          <w:rFonts w:eastAsia="Times New Roman" w:cstheme="minorHAnsi"/>
          <w:sz w:val="24"/>
          <w:szCs w:val="24"/>
        </w:rPr>
      </w:pPr>
      <w:r w:rsidRPr="001D15DB">
        <w:rPr>
          <w:rFonts w:eastAsia="Times New Roman" w:cstheme="minorHAnsi"/>
          <w:sz w:val="24"/>
          <w:szCs w:val="24"/>
        </w:rPr>
        <w:t xml:space="preserve">Warunkiem otrzymania dofinansowania, o którym mowa wyżej, jest złożenie wniosku </w:t>
      </w:r>
      <w:r w:rsidRPr="001D15DB">
        <w:rPr>
          <w:rFonts w:eastAsia="Times New Roman" w:cstheme="minorHAnsi"/>
          <w:sz w:val="24"/>
          <w:szCs w:val="24"/>
        </w:rPr>
        <w:br/>
        <w:t xml:space="preserve">o przyznanie dofinansowania – załącznik nr 4 oraz pozostałych wymaganych przez Pracodawcę dokumentów w terminie od 1 do 15 dnia miesiąca za miesiąc poprzedni. </w:t>
      </w:r>
    </w:p>
    <w:p w14:paraId="0F3C4F0B" w14:textId="77777777" w:rsidR="00306C8D" w:rsidRPr="001D15DB" w:rsidRDefault="00306C8D" w:rsidP="001D15DB">
      <w:pPr>
        <w:spacing w:before="240" w:after="0" w:line="276" w:lineRule="auto"/>
        <w:ind w:left="426"/>
        <w:rPr>
          <w:rFonts w:eastAsia="Times New Roman" w:cstheme="minorHAnsi"/>
          <w:sz w:val="24"/>
          <w:szCs w:val="24"/>
        </w:rPr>
      </w:pPr>
    </w:p>
    <w:p w14:paraId="17B11AC9" w14:textId="77777777" w:rsidR="00306C8D" w:rsidRPr="001D15DB" w:rsidRDefault="00306C8D" w:rsidP="001D15DB">
      <w:pPr>
        <w:spacing w:before="240" w:after="0" w:line="276" w:lineRule="auto"/>
        <w:ind w:left="426"/>
        <w:rPr>
          <w:rFonts w:eastAsia="Times New Roman" w:cstheme="minorHAnsi"/>
          <w:sz w:val="24"/>
          <w:szCs w:val="24"/>
        </w:rPr>
      </w:pPr>
    </w:p>
    <w:p w14:paraId="005D56EF" w14:textId="77777777" w:rsidR="00306C8D" w:rsidRPr="001D15DB" w:rsidRDefault="00306C8D" w:rsidP="001D15DB">
      <w:pPr>
        <w:numPr>
          <w:ilvl w:val="0"/>
          <w:numId w:val="28"/>
        </w:num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Udzielenie pomocy materialnej i rzeczowej lub finansowej.</w:t>
      </w:r>
    </w:p>
    <w:p w14:paraId="17DCADFF" w14:textId="77777777" w:rsidR="00306C8D" w:rsidRPr="001D15DB" w:rsidRDefault="00306C8D" w:rsidP="001D15DB">
      <w:pPr>
        <w:tabs>
          <w:tab w:val="left" w:pos="284"/>
        </w:tabs>
        <w:spacing w:after="0" w:line="276" w:lineRule="auto"/>
        <w:ind w:left="1080"/>
        <w:rPr>
          <w:rFonts w:eastAsia="Times New Roman" w:cstheme="minorHAnsi"/>
          <w:sz w:val="24"/>
          <w:szCs w:val="24"/>
        </w:rPr>
      </w:pPr>
    </w:p>
    <w:p w14:paraId="080BD8B2" w14:textId="77777777" w:rsidR="00306C8D" w:rsidRPr="001D15DB" w:rsidRDefault="00306C8D" w:rsidP="001D15DB">
      <w:pPr>
        <w:numPr>
          <w:ilvl w:val="6"/>
          <w:numId w:val="29"/>
        </w:numPr>
        <w:spacing w:after="200" w:line="276" w:lineRule="auto"/>
        <w:ind w:left="426" w:hanging="426"/>
        <w:contextualSpacing/>
        <w:rPr>
          <w:rFonts w:eastAsia="Calibri" w:cstheme="minorHAnsi"/>
          <w:color w:val="000000"/>
          <w:sz w:val="24"/>
          <w:szCs w:val="24"/>
        </w:rPr>
      </w:pPr>
      <w:r w:rsidRPr="001D15DB">
        <w:rPr>
          <w:rFonts w:eastAsia="Calibri" w:cstheme="minorHAnsi"/>
          <w:color w:val="000000"/>
          <w:sz w:val="24"/>
          <w:szCs w:val="24"/>
        </w:rPr>
        <w:t>Przez udzielenie pomocy materialnej i rzeczowej rozumie się: zakup bonów, talonów, kart przedpłaconych (np. jako bon na wakacje), zakup paczek lub kart podarunkowych dla dzieci pracowników z okazji Świąt Bożego Narodzenia.</w:t>
      </w:r>
    </w:p>
    <w:p w14:paraId="4984EA54" w14:textId="77777777" w:rsidR="00306C8D" w:rsidRPr="001D15DB" w:rsidRDefault="00306C8D" w:rsidP="001D15DB">
      <w:pPr>
        <w:numPr>
          <w:ilvl w:val="6"/>
          <w:numId w:val="29"/>
        </w:numPr>
        <w:spacing w:after="200" w:line="276" w:lineRule="auto"/>
        <w:ind w:left="426"/>
        <w:contextualSpacing/>
        <w:rPr>
          <w:rFonts w:eastAsia="Calibri" w:cstheme="minorHAnsi"/>
          <w:color w:val="000000"/>
          <w:sz w:val="24"/>
          <w:szCs w:val="24"/>
        </w:rPr>
      </w:pPr>
      <w:r w:rsidRPr="001D15DB">
        <w:rPr>
          <w:rFonts w:eastAsia="Calibri" w:cstheme="minorHAnsi"/>
          <w:color w:val="000000"/>
          <w:sz w:val="24"/>
          <w:szCs w:val="24"/>
        </w:rPr>
        <w:t xml:space="preserve">Wysokość świadczenia pomocy materialnej i rzeczowej uzależnione jest od dochodu </w:t>
      </w:r>
      <w:r w:rsidRPr="001D15DB">
        <w:rPr>
          <w:rFonts w:eastAsia="Calibri" w:cstheme="minorHAnsi"/>
          <w:color w:val="000000"/>
          <w:sz w:val="24"/>
          <w:szCs w:val="24"/>
        </w:rPr>
        <w:br/>
        <w:t xml:space="preserve">na jednego członka gospodarstwa domowego i wynosi: </w:t>
      </w:r>
    </w:p>
    <w:p w14:paraId="0B1E775C" w14:textId="77777777" w:rsidR="00306C8D" w:rsidRPr="001D15DB" w:rsidRDefault="00306C8D" w:rsidP="001D15DB">
      <w:pPr>
        <w:suppressAutoHyphens/>
        <w:overflowPunct w:val="0"/>
        <w:autoSpaceDE w:val="0"/>
        <w:autoSpaceDN w:val="0"/>
        <w:spacing w:after="0" w:line="276" w:lineRule="auto"/>
        <w:ind w:left="709" w:hanging="283"/>
        <w:textAlignment w:val="baseline"/>
        <w:rPr>
          <w:rFonts w:eastAsia="Calibri" w:cstheme="minorHAnsi"/>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4347"/>
        <w:gridCol w:w="3464"/>
      </w:tblGrid>
      <w:tr w:rsidR="00306C8D" w:rsidRPr="001D15DB" w14:paraId="105583ED" w14:textId="77777777" w:rsidTr="004954CE">
        <w:trPr>
          <w:jc w:val="center"/>
        </w:trPr>
        <w:tc>
          <w:tcPr>
            <w:tcW w:w="1007" w:type="dxa"/>
            <w:vAlign w:val="center"/>
          </w:tcPr>
          <w:p w14:paraId="2AD5BE1E"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Lp.</w:t>
            </w:r>
          </w:p>
        </w:tc>
        <w:tc>
          <w:tcPr>
            <w:tcW w:w="4347" w:type="dxa"/>
            <w:vAlign w:val="center"/>
          </w:tcPr>
          <w:p w14:paraId="64EB597E"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Dochód miesięczny</w:t>
            </w:r>
            <w:r w:rsidRPr="001D15DB">
              <w:rPr>
                <w:rFonts w:eastAsia="Times New Roman" w:cstheme="minorHAnsi"/>
                <w:b/>
                <w:bCs/>
                <w:sz w:val="24"/>
                <w:szCs w:val="24"/>
              </w:rPr>
              <w:br/>
              <w:t xml:space="preserve"> w przeliczeniu na członka gospodarstwa domowego</w:t>
            </w:r>
          </w:p>
        </w:tc>
        <w:tc>
          <w:tcPr>
            <w:tcW w:w="3464" w:type="dxa"/>
            <w:vAlign w:val="center"/>
          </w:tcPr>
          <w:p w14:paraId="33D51363" w14:textId="77777777" w:rsidR="00306C8D" w:rsidRPr="001D15DB" w:rsidRDefault="00306C8D" w:rsidP="001D15DB">
            <w:pPr>
              <w:tabs>
                <w:tab w:val="left" w:pos="284"/>
              </w:tabs>
              <w:spacing w:after="0" w:line="276" w:lineRule="auto"/>
              <w:rPr>
                <w:rFonts w:eastAsia="Times New Roman" w:cstheme="minorHAnsi"/>
                <w:b/>
                <w:bCs/>
                <w:sz w:val="24"/>
                <w:szCs w:val="24"/>
              </w:rPr>
            </w:pPr>
            <w:r w:rsidRPr="001D15DB">
              <w:rPr>
                <w:rFonts w:eastAsia="Times New Roman" w:cstheme="minorHAnsi"/>
                <w:b/>
                <w:bCs/>
                <w:sz w:val="24"/>
                <w:szCs w:val="24"/>
              </w:rPr>
              <w:t xml:space="preserve">Wysokość świadczenia </w:t>
            </w:r>
          </w:p>
        </w:tc>
      </w:tr>
      <w:tr w:rsidR="00306C8D" w:rsidRPr="001D15DB" w14:paraId="704D4DE3" w14:textId="77777777" w:rsidTr="004954CE">
        <w:trPr>
          <w:trHeight w:val="567"/>
          <w:jc w:val="center"/>
        </w:trPr>
        <w:tc>
          <w:tcPr>
            <w:tcW w:w="1007" w:type="dxa"/>
            <w:vAlign w:val="center"/>
          </w:tcPr>
          <w:p w14:paraId="3BB2CF19"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1.</w:t>
            </w:r>
          </w:p>
        </w:tc>
        <w:tc>
          <w:tcPr>
            <w:tcW w:w="4347" w:type="dxa"/>
            <w:vAlign w:val="center"/>
          </w:tcPr>
          <w:p w14:paraId="55BFCE2B"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do 2 500 zł</w:t>
            </w:r>
          </w:p>
        </w:tc>
        <w:tc>
          <w:tcPr>
            <w:tcW w:w="3464" w:type="dxa"/>
            <w:vAlign w:val="center"/>
          </w:tcPr>
          <w:p w14:paraId="3A552A87"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 xml:space="preserve">100% </w:t>
            </w:r>
          </w:p>
        </w:tc>
      </w:tr>
      <w:tr w:rsidR="00306C8D" w:rsidRPr="001D15DB" w14:paraId="2BD50AB6" w14:textId="77777777" w:rsidTr="004954CE">
        <w:trPr>
          <w:trHeight w:val="567"/>
          <w:jc w:val="center"/>
        </w:trPr>
        <w:tc>
          <w:tcPr>
            <w:tcW w:w="1007" w:type="dxa"/>
            <w:vAlign w:val="center"/>
          </w:tcPr>
          <w:p w14:paraId="60B1FD4A"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2.</w:t>
            </w:r>
          </w:p>
        </w:tc>
        <w:tc>
          <w:tcPr>
            <w:tcW w:w="4347" w:type="dxa"/>
            <w:vAlign w:val="center"/>
          </w:tcPr>
          <w:p w14:paraId="274EFB97"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2 501 zł ÷ 3 500 zł</w:t>
            </w:r>
          </w:p>
        </w:tc>
        <w:tc>
          <w:tcPr>
            <w:tcW w:w="3464" w:type="dxa"/>
            <w:vAlign w:val="center"/>
          </w:tcPr>
          <w:p w14:paraId="1C16A56D"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80%</w:t>
            </w:r>
          </w:p>
        </w:tc>
      </w:tr>
      <w:tr w:rsidR="00306C8D" w:rsidRPr="001D15DB" w14:paraId="6D2CE120" w14:textId="77777777" w:rsidTr="004954CE">
        <w:trPr>
          <w:trHeight w:val="567"/>
          <w:jc w:val="center"/>
        </w:trPr>
        <w:tc>
          <w:tcPr>
            <w:tcW w:w="1007" w:type="dxa"/>
            <w:vAlign w:val="center"/>
          </w:tcPr>
          <w:p w14:paraId="27089FDE" w14:textId="77777777" w:rsidR="00306C8D" w:rsidRPr="001D15DB" w:rsidRDefault="00306C8D" w:rsidP="001D15DB">
            <w:pPr>
              <w:tabs>
                <w:tab w:val="left" w:pos="284"/>
              </w:tabs>
              <w:spacing w:after="0" w:line="276" w:lineRule="auto"/>
              <w:rPr>
                <w:rFonts w:eastAsia="Times New Roman" w:cstheme="minorHAnsi"/>
                <w:bCs/>
                <w:sz w:val="24"/>
                <w:szCs w:val="24"/>
              </w:rPr>
            </w:pPr>
            <w:r w:rsidRPr="001D15DB">
              <w:rPr>
                <w:rFonts w:eastAsia="Times New Roman" w:cstheme="minorHAnsi"/>
                <w:bCs/>
                <w:sz w:val="24"/>
                <w:szCs w:val="24"/>
              </w:rPr>
              <w:t>3.</w:t>
            </w:r>
          </w:p>
        </w:tc>
        <w:tc>
          <w:tcPr>
            <w:tcW w:w="4347" w:type="dxa"/>
            <w:vAlign w:val="center"/>
          </w:tcPr>
          <w:p w14:paraId="10E9C086" w14:textId="77777777" w:rsidR="00306C8D" w:rsidRPr="001D15DB" w:rsidRDefault="00306C8D" w:rsidP="001D15DB">
            <w:pPr>
              <w:tabs>
                <w:tab w:val="left" w:pos="284"/>
              </w:tabs>
              <w:spacing w:after="0" w:line="276" w:lineRule="auto"/>
              <w:ind w:right="-215" w:firstLine="34"/>
              <w:rPr>
                <w:rFonts w:eastAsia="Times New Roman" w:cstheme="minorHAnsi"/>
                <w:sz w:val="24"/>
                <w:szCs w:val="24"/>
              </w:rPr>
            </w:pPr>
            <w:r w:rsidRPr="001D15DB">
              <w:rPr>
                <w:rFonts w:eastAsia="Times New Roman" w:cstheme="minorHAnsi"/>
                <w:sz w:val="24"/>
                <w:szCs w:val="24"/>
              </w:rPr>
              <w:t>powyżej 3 500 zł</w:t>
            </w:r>
          </w:p>
        </w:tc>
        <w:tc>
          <w:tcPr>
            <w:tcW w:w="3464" w:type="dxa"/>
            <w:vAlign w:val="center"/>
          </w:tcPr>
          <w:p w14:paraId="728B82FC" w14:textId="77777777" w:rsidR="00306C8D" w:rsidRPr="001D15DB" w:rsidRDefault="00306C8D" w:rsidP="001D15DB">
            <w:pPr>
              <w:tabs>
                <w:tab w:val="left" w:pos="284"/>
              </w:tabs>
              <w:spacing w:after="0" w:line="276" w:lineRule="auto"/>
              <w:rPr>
                <w:rFonts w:eastAsia="Times New Roman" w:cstheme="minorHAnsi"/>
                <w:sz w:val="24"/>
                <w:szCs w:val="24"/>
              </w:rPr>
            </w:pPr>
            <w:r w:rsidRPr="001D15DB">
              <w:rPr>
                <w:rFonts w:eastAsia="Times New Roman" w:cstheme="minorHAnsi"/>
                <w:sz w:val="24"/>
                <w:szCs w:val="24"/>
              </w:rPr>
              <w:t>60%</w:t>
            </w:r>
          </w:p>
        </w:tc>
      </w:tr>
    </w:tbl>
    <w:p w14:paraId="6DC571E6" w14:textId="77777777" w:rsidR="00306C8D" w:rsidRPr="001D15DB" w:rsidRDefault="00306C8D" w:rsidP="001D15DB">
      <w:pPr>
        <w:spacing w:before="240" w:after="0" w:line="276" w:lineRule="auto"/>
        <w:rPr>
          <w:rFonts w:eastAsia="Calibri" w:cstheme="minorHAnsi"/>
          <w:b/>
          <w:bCs/>
          <w:color w:val="000000"/>
          <w:sz w:val="24"/>
          <w:szCs w:val="24"/>
        </w:rPr>
      </w:pPr>
      <w:r w:rsidRPr="001D15DB">
        <w:rPr>
          <w:rFonts w:eastAsia="Calibri" w:cstheme="minorHAnsi"/>
          <w:b/>
          <w:bCs/>
          <w:color w:val="000000"/>
          <w:sz w:val="24"/>
          <w:szCs w:val="24"/>
        </w:rPr>
        <w:t>§ 5.</w:t>
      </w:r>
    </w:p>
    <w:p w14:paraId="4AAF6656" w14:textId="77777777" w:rsidR="00306C8D" w:rsidRPr="001D15DB" w:rsidRDefault="00306C8D" w:rsidP="001D15DB">
      <w:pPr>
        <w:suppressAutoHyphens/>
        <w:overflowPunct w:val="0"/>
        <w:autoSpaceDE w:val="0"/>
        <w:autoSpaceDN w:val="0"/>
        <w:spacing w:after="0" w:line="276" w:lineRule="auto"/>
        <w:textAlignment w:val="baseline"/>
        <w:rPr>
          <w:rFonts w:eastAsia="Calibri" w:cstheme="minorHAnsi"/>
          <w:sz w:val="24"/>
          <w:szCs w:val="24"/>
        </w:rPr>
      </w:pPr>
      <w:r w:rsidRPr="001D15DB">
        <w:rPr>
          <w:rFonts w:eastAsia="Calibri" w:cstheme="minorHAnsi"/>
          <w:b/>
          <w:sz w:val="24"/>
          <w:szCs w:val="24"/>
        </w:rPr>
        <w:t>Warunki i tryb przyznawania świadczeń z funduszu</w:t>
      </w:r>
    </w:p>
    <w:p w14:paraId="45F5CCBB" w14:textId="77777777" w:rsidR="00306C8D" w:rsidRPr="001D15DB" w:rsidRDefault="00306C8D" w:rsidP="001D15DB">
      <w:pPr>
        <w:suppressAutoHyphens/>
        <w:spacing w:after="0" w:line="276" w:lineRule="auto"/>
        <w:rPr>
          <w:rFonts w:eastAsia="Times New Roman" w:cstheme="minorHAnsi"/>
          <w:sz w:val="24"/>
          <w:szCs w:val="24"/>
          <w:lang w:eastAsia="zh-CN"/>
        </w:rPr>
      </w:pPr>
    </w:p>
    <w:p w14:paraId="01BBF376"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lastRenderedPageBreak/>
        <w:t xml:space="preserve">Przyznawanie świadczeń z Funduszu oraz wysokość dofinansowania uzależnia się </w:t>
      </w:r>
      <w:r w:rsidRPr="001D15DB">
        <w:rPr>
          <w:rFonts w:eastAsia="Calibri" w:cstheme="minorHAnsi"/>
          <w:bCs/>
          <w:sz w:val="24"/>
          <w:szCs w:val="24"/>
        </w:rPr>
        <w:br/>
        <w:t>od sytuacji życiowej, rodzinnej i materialnej osoby uprawnionej.</w:t>
      </w:r>
    </w:p>
    <w:p w14:paraId="22779AF5"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color w:val="000000"/>
          <w:sz w:val="24"/>
          <w:szCs w:val="24"/>
        </w:rPr>
      </w:pPr>
      <w:r w:rsidRPr="001D15DB">
        <w:rPr>
          <w:rFonts w:eastAsia="Calibri" w:cstheme="minorHAnsi"/>
          <w:bCs/>
          <w:color w:val="000000"/>
          <w:sz w:val="24"/>
          <w:szCs w:val="24"/>
        </w:rPr>
        <w:t xml:space="preserve">Warunkiem otrzymania każdej formy świadczenia jest złożenie oświadczenia </w:t>
      </w:r>
      <w:r w:rsidRPr="001D15DB">
        <w:rPr>
          <w:rFonts w:eastAsia="Calibri" w:cstheme="minorHAnsi"/>
          <w:bCs/>
          <w:color w:val="000000"/>
          <w:sz w:val="24"/>
          <w:szCs w:val="24"/>
        </w:rPr>
        <w:br/>
        <w:t>o dochodzie na jednego członka rodziny,</w:t>
      </w:r>
      <w:r w:rsidRPr="001D15DB">
        <w:rPr>
          <w:rFonts w:eastAsia="Calibri" w:cstheme="minorHAnsi"/>
          <w:b/>
          <w:color w:val="000000"/>
          <w:sz w:val="24"/>
          <w:szCs w:val="24"/>
        </w:rPr>
        <w:t xml:space="preserve"> </w:t>
      </w:r>
      <w:r w:rsidRPr="001D15DB">
        <w:rPr>
          <w:rFonts w:eastAsia="Calibri" w:cstheme="minorHAnsi"/>
          <w:color w:val="000000"/>
          <w:sz w:val="24"/>
          <w:szCs w:val="24"/>
        </w:rPr>
        <w:t xml:space="preserve">świadczące o sytuacji życiowej, rodzinnej </w:t>
      </w:r>
      <w:r w:rsidRPr="001D15DB">
        <w:rPr>
          <w:rFonts w:eastAsia="Calibri" w:cstheme="minorHAnsi"/>
          <w:color w:val="000000"/>
          <w:sz w:val="24"/>
          <w:szCs w:val="24"/>
        </w:rPr>
        <w:br/>
        <w:t>i materialnej</w:t>
      </w:r>
      <w:r w:rsidRPr="001D15DB">
        <w:rPr>
          <w:rFonts w:eastAsia="Calibri" w:cstheme="minorHAnsi"/>
          <w:bCs/>
          <w:color w:val="000000"/>
          <w:sz w:val="24"/>
          <w:szCs w:val="24"/>
        </w:rPr>
        <w:t xml:space="preserve"> – załącznik nr 5.</w:t>
      </w:r>
    </w:p>
    <w:p w14:paraId="61807F79"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color w:val="FF0000"/>
          <w:sz w:val="24"/>
          <w:szCs w:val="24"/>
        </w:rPr>
      </w:pPr>
      <w:r w:rsidRPr="001D15DB">
        <w:rPr>
          <w:rFonts w:eastAsia="Times New Roman" w:cstheme="minorHAnsi"/>
          <w:sz w:val="24"/>
          <w:szCs w:val="24"/>
        </w:rPr>
        <w:t xml:space="preserve">W przypadku zmiany sytuacji rodzinnej/finansowej mającej wpływ na dochód </w:t>
      </w:r>
      <w:r w:rsidRPr="001D15DB">
        <w:rPr>
          <w:rFonts w:eastAsia="Times New Roman" w:cstheme="minorHAnsi"/>
          <w:sz w:val="24"/>
          <w:szCs w:val="24"/>
        </w:rPr>
        <w:br/>
        <w:t>w rodzinie i wysokość dofinansowania, osoba uprawniona ma obowiązek niezwłocznej aktualizacji danych ujętych w oświadczeniu.</w:t>
      </w:r>
    </w:p>
    <w:p w14:paraId="19A726F7"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Wysokość </w:t>
      </w:r>
      <w:bookmarkStart w:id="3" w:name="_Hlk73015333"/>
      <w:r w:rsidRPr="001D15DB">
        <w:rPr>
          <w:rFonts w:eastAsia="Calibri" w:cstheme="minorHAnsi"/>
          <w:bCs/>
          <w:sz w:val="24"/>
          <w:szCs w:val="24"/>
        </w:rPr>
        <w:t xml:space="preserve">świadczenia uzależniona jest od dochodu </w:t>
      </w:r>
      <w:bookmarkStart w:id="4" w:name="_Hlk73005506"/>
      <w:r w:rsidRPr="001D15DB">
        <w:rPr>
          <w:rFonts w:eastAsia="Calibri" w:cstheme="minorHAnsi"/>
          <w:bCs/>
          <w:sz w:val="24"/>
          <w:szCs w:val="24"/>
        </w:rPr>
        <w:t>przypadającego na jednego członka rodziny</w:t>
      </w:r>
      <w:bookmarkEnd w:id="3"/>
      <w:bookmarkEnd w:id="4"/>
      <w:r w:rsidRPr="001D15DB">
        <w:rPr>
          <w:rFonts w:eastAsia="Calibri" w:cstheme="minorHAnsi"/>
          <w:bCs/>
          <w:sz w:val="24"/>
          <w:szCs w:val="24"/>
        </w:rPr>
        <w:t>.</w:t>
      </w:r>
    </w:p>
    <w:p w14:paraId="3C8E9BAF"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sz w:val="24"/>
          <w:szCs w:val="24"/>
        </w:rPr>
      </w:pPr>
      <w:r w:rsidRPr="001D15DB">
        <w:rPr>
          <w:rFonts w:eastAsia="Calibri" w:cstheme="minorHAnsi"/>
          <w:sz w:val="24"/>
          <w:szCs w:val="24"/>
        </w:rPr>
        <w:t xml:space="preserve">Komisja socjalna przed podjęciem decyzji w przedmiocie przyznania świadczenia może przeprowadzić weryfikację złożonego oświadczenia o dochodach. Weryfikacja polega </w:t>
      </w:r>
      <w:r w:rsidRPr="001D15DB">
        <w:rPr>
          <w:rFonts w:eastAsia="Calibri" w:cstheme="minorHAnsi"/>
          <w:sz w:val="24"/>
          <w:szCs w:val="24"/>
        </w:rPr>
        <w:br/>
        <w:t xml:space="preserve">na żądaniu przedłożenia Komisji Socjalnej dokumentów, na podstawie których wyliczono dochód na przypadający na członka gospodarstwa domowego. </w:t>
      </w:r>
      <w:r w:rsidRPr="001D15DB">
        <w:rPr>
          <w:rFonts w:eastAsia="Calibri" w:cstheme="minorHAnsi"/>
          <w:bCs/>
          <w:sz w:val="24"/>
          <w:szCs w:val="24"/>
        </w:rPr>
        <w:t xml:space="preserve">W przypadku nieprzedłożenia do wglądu dokumentów wnioskodawcy będzie przysługiwało najniższe świadczenie.   </w:t>
      </w:r>
    </w:p>
    <w:p w14:paraId="45F76D21"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Pracownik, któremu odmówiono świadczenia z Funduszu otrzymuje pisemną informację o odmowie.</w:t>
      </w:r>
    </w:p>
    <w:p w14:paraId="40225BB0"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Times New Roman" w:cstheme="minorHAnsi"/>
          <w:sz w:val="24"/>
          <w:szCs w:val="24"/>
        </w:rPr>
        <w:t xml:space="preserve">W terminie 7 dni od otrzymania wiadomości o negatywnym rozpatrzeniu wniosku </w:t>
      </w:r>
      <w:r w:rsidRPr="001D15DB">
        <w:rPr>
          <w:rFonts w:eastAsia="Times New Roman" w:cstheme="minorHAnsi"/>
          <w:sz w:val="24"/>
          <w:szCs w:val="24"/>
        </w:rPr>
        <w:br/>
        <w:t>o świadczenie, osoba uprawniona może skierować za pośrednictwem uprawnionej komórki organizacyjnej wniosek do ponownego rozpatrzenia.</w:t>
      </w:r>
    </w:p>
    <w:p w14:paraId="01243A78"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Calibri" w:cstheme="minorHAnsi"/>
          <w:bCs/>
          <w:sz w:val="24"/>
          <w:szCs w:val="24"/>
        </w:rPr>
        <w:t xml:space="preserve">Świadczenia z Funduszu przyznaje się na wniosek lub na podstawie oświadczenia </w:t>
      </w:r>
      <w:r w:rsidRPr="001D15DB">
        <w:rPr>
          <w:rFonts w:eastAsia="Calibri" w:cstheme="minorHAnsi"/>
          <w:bCs/>
          <w:sz w:val="24"/>
          <w:szCs w:val="24"/>
        </w:rPr>
        <w:br/>
        <w:t xml:space="preserve">o dochodzie przypadającym na osobę w gospodarstwie domowym. </w:t>
      </w:r>
    </w:p>
    <w:p w14:paraId="65E3C4AA" w14:textId="77777777" w:rsidR="00306C8D" w:rsidRPr="001D15DB" w:rsidRDefault="00306C8D" w:rsidP="001D15DB">
      <w:pPr>
        <w:numPr>
          <w:ilvl w:val="0"/>
          <w:numId w:val="20"/>
        </w:numPr>
        <w:suppressAutoHyphens/>
        <w:overflowPunct w:val="0"/>
        <w:autoSpaceDE w:val="0"/>
        <w:autoSpaceDN w:val="0"/>
        <w:spacing w:after="0" w:line="276" w:lineRule="auto"/>
        <w:ind w:left="426" w:hanging="426"/>
        <w:textAlignment w:val="baseline"/>
        <w:rPr>
          <w:rFonts w:eastAsia="Calibri" w:cstheme="minorHAnsi"/>
          <w:bCs/>
          <w:sz w:val="24"/>
          <w:szCs w:val="24"/>
        </w:rPr>
      </w:pPr>
      <w:r w:rsidRPr="001D15DB">
        <w:rPr>
          <w:rFonts w:eastAsia="Times New Roman" w:cstheme="minorHAnsi"/>
          <w:sz w:val="24"/>
          <w:szCs w:val="24"/>
        </w:rPr>
        <w:t xml:space="preserve">Ustala się następujące terminy składania wniosków o uzyskanie świadczenia </w:t>
      </w:r>
      <w:r w:rsidRPr="001D15DB">
        <w:rPr>
          <w:rFonts w:eastAsia="Times New Roman" w:cstheme="minorHAnsi"/>
          <w:sz w:val="24"/>
          <w:szCs w:val="24"/>
        </w:rPr>
        <w:br/>
        <w:t>z Funduszu socjalnego:</w:t>
      </w:r>
    </w:p>
    <w:p w14:paraId="6DFC9B00" w14:textId="77777777" w:rsidR="00306C8D" w:rsidRPr="001D15DB" w:rsidRDefault="00306C8D" w:rsidP="001D15DB">
      <w:pPr>
        <w:numPr>
          <w:ilvl w:val="0"/>
          <w:numId w:val="44"/>
        </w:numPr>
        <w:spacing w:after="0" w:line="276" w:lineRule="auto"/>
        <w:rPr>
          <w:rFonts w:eastAsia="Times New Roman" w:cstheme="minorHAnsi"/>
          <w:sz w:val="24"/>
          <w:szCs w:val="24"/>
        </w:rPr>
      </w:pPr>
      <w:r w:rsidRPr="001D15DB">
        <w:rPr>
          <w:rFonts w:eastAsia="Times New Roman" w:cstheme="minorHAnsi"/>
          <w:sz w:val="24"/>
          <w:szCs w:val="24"/>
        </w:rPr>
        <w:t>dopłaty do prowadzonego przez uprawnione do tego jednostki zorganizowanego wypoczynku dzieci i młodzieży – do 30 dni po zakończeniu wypoczynku dziecka;</w:t>
      </w:r>
    </w:p>
    <w:p w14:paraId="0ED3543A" w14:textId="77777777" w:rsidR="00306C8D" w:rsidRPr="001D15DB" w:rsidRDefault="00306C8D" w:rsidP="001D15DB">
      <w:pPr>
        <w:numPr>
          <w:ilvl w:val="0"/>
          <w:numId w:val="44"/>
        </w:numPr>
        <w:spacing w:after="0" w:line="276" w:lineRule="auto"/>
        <w:rPr>
          <w:rFonts w:eastAsia="Times New Roman" w:cstheme="minorHAnsi"/>
          <w:sz w:val="24"/>
          <w:szCs w:val="24"/>
        </w:rPr>
      </w:pPr>
      <w:r w:rsidRPr="001D15DB">
        <w:rPr>
          <w:rFonts w:eastAsia="Times New Roman" w:cstheme="minorHAnsi"/>
          <w:sz w:val="24"/>
          <w:szCs w:val="24"/>
        </w:rPr>
        <w:t>pożyczki na cele mieszkaniowe – w ciągu całego roku, po uprzednim spłaceniu wcześniejszej pożyczki;</w:t>
      </w:r>
    </w:p>
    <w:p w14:paraId="5C52E70C" w14:textId="77777777" w:rsidR="00306C8D" w:rsidRPr="001D15DB" w:rsidRDefault="00306C8D" w:rsidP="001D15DB">
      <w:pPr>
        <w:numPr>
          <w:ilvl w:val="0"/>
          <w:numId w:val="44"/>
        </w:numPr>
        <w:spacing w:after="0" w:line="276" w:lineRule="auto"/>
        <w:rPr>
          <w:rFonts w:eastAsia="Times New Roman" w:cstheme="minorHAnsi"/>
          <w:sz w:val="24"/>
          <w:szCs w:val="24"/>
        </w:rPr>
      </w:pPr>
      <w:r w:rsidRPr="001D15DB">
        <w:rPr>
          <w:rFonts w:eastAsia="Times New Roman" w:cstheme="minorHAnsi"/>
          <w:sz w:val="24"/>
          <w:szCs w:val="24"/>
        </w:rPr>
        <w:t>zapomogi losowe – po wystąpieniu zdarzenia losowego;</w:t>
      </w:r>
    </w:p>
    <w:p w14:paraId="7376971D" w14:textId="77777777" w:rsidR="00306C8D" w:rsidRPr="001D15DB" w:rsidRDefault="00306C8D" w:rsidP="001D15DB">
      <w:pPr>
        <w:numPr>
          <w:ilvl w:val="0"/>
          <w:numId w:val="20"/>
        </w:numPr>
        <w:spacing w:after="0" w:line="276" w:lineRule="auto"/>
        <w:ind w:left="426" w:hanging="426"/>
        <w:rPr>
          <w:rFonts w:eastAsia="Times New Roman" w:cstheme="minorHAnsi"/>
          <w:sz w:val="24"/>
          <w:szCs w:val="24"/>
        </w:rPr>
      </w:pPr>
      <w:r w:rsidRPr="001D15DB">
        <w:rPr>
          <w:rFonts w:eastAsia="Times New Roman" w:cstheme="minorHAnsi"/>
          <w:sz w:val="24"/>
          <w:szCs w:val="24"/>
        </w:rPr>
        <w:t>W uzasadnionych przypadkach zmiany terminu składania wniosków może dokonać Kierownik Jednostki.</w:t>
      </w:r>
    </w:p>
    <w:p w14:paraId="279038FC" w14:textId="77777777" w:rsidR="00306C8D" w:rsidRPr="001D15DB" w:rsidRDefault="00306C8D" w:rsidP="001D15DB">
      <w:pPr>
        <w:tabs>
          <w:tab w:val="left" w:pos="709"/>
        </w:tabs>
        <w:spacing w:after="0" w:line="276" w:lineRule="auto"/>
        <w:ind w:left="426" w:hanging="426"/>
        <w:rPr>
          <w:rFonts w:eastAsia="Times New Roman" w:cstheme="minorHAnsi"/>
          <w:sz w:val="24"/>
          <w:szCs w:val="24"/>
        </w:rPr>
      </w:pPr>
      <w:r w:rsidRPr="001D15DB">
        <w:rPr>
          <w:rFonts w:eastAsia="Times New Roman" w:cstheme="minorHAnsi"/>
          <w:sz w:val="24"/>
          <w:szCs w:val="24"/>
        </w:rPr>
        <w:t>11. Wnioski złożone po terminie nie będą rozpatrywane.</w:t>
      </w:r>
    </w:p>
    <w:p w14:paraId="4E86897C" w14:textId="39801D35" w:rsidR="00306C8D" w:rsidRPr="001D15DB" w:rsidRDefault="00306C8D" w:rsidP="001D15DB">
      <w:pPr>
        <w:spacing w:before="240" w:after="0" w:line="276" w:lineRule="auto"/>
        <w:rPr>
          <w:rFonts w:eastAsia="Times New Roman" w:cstheme="minorHAnsi"/>
          <w:b/>
          <w:sz w:val="24"/>
          <w:szCs w:val="24"/>
        </w:rPr>
      </w:pPr>
      <w:r w:rsidRPr="001D15DB">
        <w:rPr>
          <w:rFonts w:eastAsia="Times New Roman" w:cstheme="minorHAnsi"/>
          <w:b/>
          <w:sz w:val="24"/>
          <w:szCs w:val="24"/>
        </w:rPr>
        <w:t>§ 6</w:t>
      </w:r>
      <w:r w:rsidRPr="001D15DB">
        <w:rPr>
          <w:rFonts w:eastAsia="Times New Roman" w:cstheme="minorHAnsi"/>
          <w:sz w:val="24"/>
          <w:szCs w:val="24"/>
        </w:rPr>
        <w:t xml:space="preserve">Stan środków znajdujących się na rachunku Funduszu rozliczany jest raz na kwartał </w:t>
      </w:r>
      <w:r w:rsidRPr="001D15DB">
        <w:rPr>
          <w:rFonts w:eastAsia="Times New Roman" w:cstheme="minorHAnsi"/>
          <w:sz w:val="24"/>
          <w:szCs w:val="24"/>
        </w:rPr>
        <w:br/>
        <w:t xml:space="preserve">w formie sprawozdania do 10 dnia następującego po dniu kończącym kwartał. </w:t>
      </w:r>
    </w:p>
    <w:p w14:paraId="5346CB08" w14:textId="64A07B52" w:rsidR="00306C8D" w:rsidRPr="001D15DB" w:rsidRDefault="00306C8D" w:rsidP="001D15DB">
      <w:pPr>
        <w:spacing w:before="240" w:after="0" w:line="276" w:lineRule="auto"/>
        <w:rPr>
          <w:rFonts w:eastAsia="Times New Roman" w:cstheme="minorHAnsi"/>
          <w:b/>
          <w:sz w:val="24"/>
          <w:szCs w:val="24"/>
        </w:rPr>
      </w:pPr>
      <w:r w:rsidRPr="001D15DB">
        <w:rPr>
          <w:rFonts w:eastAsia="Times New Roman" w:cstheme="minorHAnsi"/>
          <w:b/>
          <w:sz w:val="24"/>
          <w:szCs w:val="24"/>
        </w:rPr>
        <w:t>§ 7</w:t>
      </w:r>
      <w:r w:rsidR="001D15DB">
        <w:rPr>
          <w:rFonts w:eastAsia="Times New Roman" w:cstheme="minorHAnsi"/>
          <w:b/>
          <w:sz w:val="24"/>
          <w:szCs w:val="24"/>
        </w:rPr>
        <w:t xml:space="preserve"> </w:t>
      </w:r>
      <w:r w:rsidRPr="001D15DB">
        <w:rPr>
          <w:rFonts w:eastAsia="Times New Roman" w:cstheme="minorHAnsi"/>
          <w:sz w:val="24"/>
          <w:szCs w:val="24"/>
        </w:rPr>
        <w:t xml:space="preserve">W przypadku złożenia oświadczenia niezgodnego ze stanem faktycznym, osoba uprawniona do korzystania z Funduszu zobowiązana jest do natychmiastowego zwrotu udzielonego świadczenia. </w:t>
      </w:r>
    </w:p>
    <w:p w14:paraId="2035736C" w14:textId="747B62CB" w:rsidR="00306C8D" w:rsidRPr="001D15DB" w:rsidRDefault="00306C8D" w:rsidP="001D15DB">
      <w:pPr>
        <w:spacing w:before="240" w:after="0" w:line="276" w:lineRule="auto"/>
        <w:rPr>
          <w:rFonts w:eastAsia="Times New Roman" w:cstheme="minorHAnsi"/>
          <w:b/>
          <w:sz w:val="24"/>
          <w:szCs w:val="24"/>
        </w:rPr>
      </w:pPr>
      <w:r w:rsidRPr="001D15DB">
        <w:rPr>
          <w:rFonts w:eastAsia="Times New Roman" w:cstheme="minorHAnsi"/>
          <w:b/>
          <w:sz w:val="24"/>
          <w:szCs w:val="24"/>
        </w:rPr>
        <w:lastRenderedPageBreak/>
        <w:t>§ 8</w:t>
      </w:r>
      <w:r w:rsidR="001D15DB">
        <w:rPr>
          <w:rFonts w:eastAsia="Times New Roman" w:cstheme="minorHAnsi"/>
          <w:b/>
          <w:sz w:val="24"/>
          <w:szCs w:val="24"/>
        </w:rPr>
        <w:t xml:space="preserve"> </w:t>
      </w:r>
      <w:r w:rsidRPr="001D15DB">
        <w:rPr>
          <w:rFonts w:eastAsia="Times New Roman" w:cstheme="minorHAnsi"/>
          <w:sz w:val="24"/>
          <w:szCs w:val="24"/>
        </w:rPr>
        <w:t>W sprawach nie uregulowanych w niniejszym Regulaminie mają zastosowanie obowiązujące przepisy ustawy z dnia 4 marca 1994 roku o zakładowym funduszu świadczeń socjalnych, przepisy prawa pracy oraz odpowiednie przepisy Kodeksu Cywilnego.</w:t>
      </w:r>
    </w:p>
    <w:p w14:paraId="3D99C7AF" w14:textId="77777777" w:rsidR="00306C8D" w:rsidRPr="001D15DB" w:rsidRDefault="00306C8D" w:rsidP="001D15DB">
      <w:pPr>
        <w:spacing w:after="0" w:line="276" w:lineRule="auto"/>
        <w:ind w:left="709" w:hanging="283"/>
        <w:rPr>
          <w:rFonts w:eastAsia="Times New Roman" w:cstheme="minorHAnsi"/>
          <w:sz w:val="24"/>
          <w:szCs w:val="24"/>
        </w:rPr>
      </w:pPr>
    </w:p>
    <w:bookmarkEnd w:id="0"/>
    <w:p w14:paraId="1D02EF67" w14:textId="77777777" w:rsidR="008F7444" w:rsidRPr="001D15DB" w:rsidRDefault="008F7444" w:rsidP="001D15DB">
      <w:pPr>
        <w:spacing w:line="276" w:lineRule="auto"/>
        <w:rPr>
          <w:rFonts w:cstheme="minorHAnsi"/>
          <w:sz w:val="24"/>
          <w:szCs w:val="24"/>
        </w:rPr>
      </w:pPr>
    </w:p>
    <w:sectPr w:rsidR="008F7444" w:rsidRPr="001D1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1C"/>
    <w:multiLevelType w:val="multilevel"/>
    <w:tmpl w:val="870C72C2"/>
    <w:styleLink w:val="WW8Num12"/>
    <w:lvl w:ilvl="0">
      <w:start w:val="1"/>
      <w:numFmt w:val="decimal"/>
      <w:lvlText w:val="%1."/>
      <w:lvlJc w:val="left"/>
      <w:pPr>
        <w:ind w:left="360" w:hanging="360"/>
      </w:pPr>
      <w:rPr>
        <w:bCs/>
        <w:color w:val="000000"/>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267F34"/>
    <w:multiLevelType w:val="hybridMultilevel"/>
    <w:tmpl w:val="8D209BBC"/>
    <w:lvl w:ilvl="0" w:tplc="39B0793A">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7D40180"/>
    <w:multiLevelType w:val="multilevel"/>
    <w:tmpl w:val="7F543032"/>
    <w:styleLink w:val="WW8Num45"/>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D25587"/>
    <w:multiLevelType w:val="hybridMultilevel"/>
    <w:tmpl w:val="71A06B42"/>
    <w:lvl w:ilvl="0" w:tplc="9F9826DC">
      <w:start w:val="1"/>
      <w:numFmt w:val="decimal"/>
      <w:lvlText w:val="%1."/>
      <w:lvlJc w:val="left"/>
      <w:pPr>
        <w:tabs>
          <w:tab w:val="num" w:pos="375"/>
        </w:tabs>
        <w:ind w:left="375" w:hanging="375"/>
      </w:pPr>
      <w:rPr>
        <w:rFonts w:hint="default"/>
      </w:rPr>
    </w:lvl>
    <w:lvl w:ilvl="1" w:tplc="561E4F7A">
      <w:start w:val="1"/>
      <w:numFmt w:val="decimal"/>
      <w:lvlText w:val="%2."/>
      <w:lvlJc w:val="left"/>
      <w:pPr>
        <w:tabs>
          <w:tab w:val="num" w:pos="1099"/>
        </w:tabs>
        <w:ind w:left="1099" w:hanging="360"/>
      </w:pPr>
      <w:rPr>
        <w:rFonts w:hint="default"/>
      </w:r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4" w15:restartNumberingAfterBreak="0">
    <w:nsid w:val="0DEE123D"/>
    <w:multiLevelType w:val="hybridMultilevel"/>
    <w:tmpl w:val="C52487E4"/>
    <w:lvl w:ilvl="0" w:tplc="FFD4F7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B6358"/>
    <w:multiLevelType w:val="hybridMultilevel"/>
    <w:tmpl w:val="CF34A01C"/>
    <w:lvl w:ilvl="0" w:tplc="EF04F90A">
      <w:start w:val="3"/>
      <w:numFmt w:val="decimal"/>
      <w:lvlText w:val="%1."/>
      <w:lvlJc w:val="left"/>
      <w:pPr>
        <w:tabs>
          <w:tab w:val="num" w:pos="425"/>
        </w:tabs>
        <w:ind w:left="425" w:hanging="425"/>
      </w:pPr>
      <w:rPr>
        <w:rFonts w:ascii="Times New Roman" w:hAnsi="Times New Roman" w:cs="Times New Roman" w:hint="default"/>
        <w:caps w:val="0"/>
        <w:strike w:val="0"/>
        <w:dstrike w:val="0"/>
        <w:shadow w:val="0"/>
        <w:emboss w:val="0"/>
        <w:imprint w:val="0"/>
        <w:vanish w:val="0"/>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2F0AA1"/>
    <w:multiLevelType w:val="multilevel"/>
    <w:tmpl w:val="F9B8924A"/>
    <w:styleLink w:val="WW8Num29"/>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1A48A4"/>
    <w:multiLevelType w:val="hybridMultilevel"/>
    <w:tmpl w:val="0AD4D320"/>
    <w:lvl w:ilvl="0" w:tplc="60FAD37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177D22"/>
    <w:multiLevelType w:val="hybridMultilevel"/>
    <w:tmpl w:val="B052E7D0"/>
    <w:lvl w:ilvl="0" w:tplc="0A084CE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3414BD"/>
    <w:multiLevelType w:val="multilevel"/>
    <w:tmpl w:val="BC42C8C4"/>
    <w:styleLink w:val="WW8Num25"/>
    <w:lvl w:ilvl="0">
      <w:start w:val="1"/>
      <w:numFmt w:val="decimal"/>
      <w:lvlText w:val="%1."/>
      <w:lvlJc w:val="left"/>
      <w:pPr>
        <w:ind w:left="786"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4665DA"/>
    <w:multiLevelType w:val="multilevel"/>
    <w:tmpl w:val="5262C93E"/>
    <w:styleLink w:val="WW8Num37"/>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54481C"/>
    <w:multiLevelType w:val="hybridMultilevel"/>
    <w:tmpl w:val="2AA8C4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9097D97"/>
    <w:multiLevelType w:val="hybridMultilevel"/>
    <w:tmpl w:val="72520E3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B8E144E"/>
    <w:multiLevelType w:val="hybridMultilevel"/>
    <w:tmpl w:val="5BDCA33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05C28"/>
    <w:multiLevelType w:val="hybridMultilevel"/>
    <w:tmpl w:val="A2B22658"/>
    <w:lvl w:ilvl="0" w:tplc="1F04368C">
      <w:start w:val="1"/>
      <w:numFmt w:val="decimal"/>
      <w:lvlText w:val="%1."/>
      <w:lvlJc w:val="left"/>
      <w:pPr>
        <w:ind w:left="765" w:hanging="360"/>
      </w:pPr>
      <w:rPr>
        <w:sz w:val="24"/>
        <w:szCs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2EC868F6"/>
    <w:multiLevelType w:val="hybridMultilevel"/>
    <w:tmpl w:val="01E632A0"/>
    <w:lvl w:ilvl="0" w:tplc="253491F2">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0881A73"/>
    <w:multiLevelType w:val="hybridMultilevel"/>
    <w:tmpl w:val="749C207A"/>
    <w:lvl w:ilvl="0" w:tplc="0B52A8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36A389F"/>
    <w:multiLevelType w:val="hybridMultilevel"/>
    <w:tmpl w:val="C004DF3C"/>
    <w:lvl w:ilvl="0" w:tplc="11FC705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CC17FC3"/>
    <w:multiLevelType w:val="multilevel"/>
    <w:tmpl w:val="4F524E22"/>
    <w:styleLink w:val="WW8Num14"/>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DD7324"/>
    <w:multiLevelType w:val="multilevel"/>
    <w:tmpl w:val="C69CD892"/>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37E12"/>
    <w:multiLevelType w:val="hybridMultilevel"/>
    <w:tmpl w:val="799A7A70"/>
    <w:lvl w:ilvl="0" w:tplc="187A7240">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1761DF9"/>
    <w:multiLevelType w:val="hybridMultilevel"/>
    <w:tmpl w:val="E94EFEE2"/>
    <w:lvl w:ilvl="0" w:tplc="3238F8B6">
      <w:start w:val="1"/>
      <w:numFmt w:val="decimal"/>
      <w:lvlText w:val="%1."/>
      <w:lvlJc w:val="left"/>
      <w:pPr>
        <w:tabs>
          <w:tab w:val="num" w:pos="425"/>
        </w:tabs>
        <w:ind w:left="425" w:hanging="425"/>
      </w:pPr>
      <w:rPr>
        <w:rFonts w:hint="default"/>
        <w:caps w:val="0"/>
        <w:strike w:val="0"/>
        <w:dstrike w:val="0"/>
        <w:shadow w:val="0"/>
        <w:emboss w:val="0"/>
        <w:imprint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770EEF"/>
    <w:multiLevelType w:val="multilevel"/>
    <w:tmpl w:val="3170EE00"/>
    <w:styleLink w:val="WW8Num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3A716CA"/>
    <w:multiLevelType w:val="hybridMultilevel"/>
    <w:tmpl w:val="F7F63DB6"/>
    <w:lvl w:ilvl="0" w:tplc="04150017">
      <w:start w:val="1"/>
      <w:numFmt w:val="lowerLetter"/>
      <w:lvlText w:val="%1)"/>
      <w:lvlJc w:val="left"/>
      <w:pPr>
        <w:ind w:left="1495" w:hanging="360"/>
      </w:pPr>
    </w:lvl>
    <w:lvl w:ilvl="1" w:tplc="04150019">
      <w:start w:val="1"/>
      <w:numFmt w:val="lowerLetter"/>
      <w:lvlText w:val="%2."/>
      <w:lvlJc w:val="left"/>
      <w:pPr>
        <w:ind w:left="2215" w:hanging="360"/>
      </w:pPr>
      <w:rPr>
        <w:rFonts w:cs="Times New Roman"/>
      </w:rPr>
    </w:lvl>
    <w:lvl w:ilvl="2" w:tplc="0415001B">
      <w:start w:val="1"/>
      <w:numFmt w:val="lowerRoman"/>
      <w:lvlText w:val="%3."/>
      <w:lvlJc w:val="right"/>
      <w:pPr>
        <w:ind w:left="2935" w:hanging="180"/>
      </w:pPr>
      <w:rPr>
        <w:rFonts w:cs="Times New Roman"/>
      </w:rPr>
    </w:lvl>
    <w:lvl w:ilvl="3" w:tplc="0415000F">
      <w:start w:val="1"/>
      <w:numFmt w:val="decimal"/>
      <w:lvlText w:val="%4."/>
      <w:lvlJc w:val="left"/>
      <w:pPr>
        <w:ind w:left="3655" w:hanging="360"/>
      </w:pPr>
      <w:rPr>
        <w:rFonts w:cs="Times New Roman"/>
      </w:rPr>
    </w:lvl>
    <w:lvl w:ilvl="4" w:tplc="04150019">
      <w:start w:val="1"/>
      <w:numFmt w:val="lowerLetter"/>
      <w:lvlText w:val="%5."/>
      <w:lvlJc w:val="left"/>
      <w:pPr>
        <w:ind w:left="4375" w:hanging="360"/>
      </w:pPr>
      <w:rPr>
        <w:rFonts w:cs="Times New Roman"/>
      </w:rPr>
    </w:lvl>
    <w:lvl w:ilvl="5" w:tplc="0415001B">
      <w:start w:val="1"/>
      <w:numFmt w:val="lowerRoman"/>
      <w:lvlText w:val="%6."/>
      <w:lvlJc w:val="right"/>
      <w:pPr>
        <w:ind w:left="5095" w:hanging="180"/>
      </w:pPr>
      <w:rPr>
        <w:rFonts w:cs="Times New Roman"/>
      </w:rPr>
    </w:lvl>
    <w:lvl w:ilvl="6" w:tplc="0415000F">
      <w:start w:val="1"/>
      <w:numFmt w:val="decimal"/>
      <w:lvlText w:val="%7."/>
      <w:lvlJc w:val="left"/>
      <w:pPr>
        <w:ind w:left="5815" w:hanging="360"/>
      </w:pPr>
      <w:rPr>
        <w:rFonts w:cs="Times New Roman"/>
      </w:rPr>
    </w:lvl>
    <w:lvl w:ilvl="7" w:tplc="04150019">
      <w:start w:val="1"/>
      <w:numFmt w:val="lowerLetter"/>
      <w:lvlText w:val="%8."/>
      <w:lvlJc w:val="left"/>
      <w:pPr>
        <w:ind w:left="6535" w:hanging="360"/>
      </w:pPr>
      <w:rPr>
        <w:rFonts w:cs="Times New Roman"/>
      </w:rPr>
    </w:lvl>
    <w:lvl w:ilvl="8" w:tplc="0415001B">
      <w:start w:val="1"/>
      <w:numFmt w:val="lowerRoman"/>
      <w:lvlText w:val="%9."/>
      <w:lvlJc w:val="right"/>
      <w:pPr>
        <w:ind w:left="7255" w:hanging="180"/>
      </w:pPr>
      <w:rPr>
        <w:rFonts w:cs="Times New Roman"/>
      </w:rPr>
    </w:lvl>
  </w:abstractNum>
  <w:abstractNum w:abstractNumId="24" w15:restartNumberingAfterBreak="0">
    <w:nsid w:val="44BF10C4"/>
    <w:multiLevelType w:val="multilevel"/>
    <w:tmpl w:val="A2CC14DC"/>
    <w:styleLink w:val="WW8Num2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51A3CEB"/>
    <w:multiLevelType w:val="hybridMultilevel"/>
    <w:tmpl w:val="E404EF84"/>
    <w:lvl w:ilvl="0" w:tplc="F202E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F7F08"/>
    <w:multiLevelType w:val="hybridMultilevel"/>
    <w:tmpl w:val="2FB8F7EE"/>
    <w:lvl w:ilvl="0" w:tplc="5ED0E8E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65974BA"/>
    <w:multiLevelType w:val="hybridMultilevel"/>
    <w:tmpl w:val="46BADD1E"/>
    <w:styleLink w:val="WW8Num471"/>
    <w:lvl w:ilvl="0" w:tplc="0415000F">
      <w:start w:val="1"/>
      <w:numFmt w:val="decimal"/>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28" w15:restartNumberingAfterBreak="0">
    <w:nsid w:val="4A902923"/>
    <w:multiLevelType w:val="multilevel"/>
    <w:tmpl w:val="B54240DC"/>
    <w:styleLink w:val="WW8Num26"/>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0E53981"/>
    <w:multiLevelType w:val="multilevel"/>
    <w:tmpl w:val="8312E2A4"/>
    <w:styleLink w:val="WW8Num47"/>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195847"/>
    <w:multiLevelType w:val="hybridMultilevel"/>
    <w:tmpl w:val="C5968038"/>
    <w:lvl w:ilvl="0" w:tplc="B2B8AF54">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77977EB"/>
    <w:multiLevelType w:val="hybridMultilevel"/>
    <w:tmpl w:val="99863E52"/>
    <w:lvl w:ilvl="0" w:tplc="320EBA3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9E57073"/>
    <w:multiLevelType w:val="hybridMultilevel"/>
    <w:tmpl w:val="5B7AB09E"/>
    <w:lvl w:ilvl="0" w:tplc="2D56841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B713BC2"/>
    <w:multiLevelType w:val="hybridMultilevel"/>
    <w:tmpl w:val="CD7E07E8"/>
    <w:lvl w:ilvl="0" w:tplc="014C2EC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D10ADB"/>
    <w:multiLevelType w:val="multilevel"/>
    <w:tmpl w:val="33DC0A4E"/>
    <w:styleLink w:val="WW8Num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1CC08B7"/>
    <w:multiLevelType w:val="multilevel"/>
    <w:tmpl w:val="184C6BCA"/>
    <w:styleLink w:val="WW8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322606"/>
    <w:multiLevelType w:val="multilevel"/>
    <w:tmpl w:val="EEC0F0F2"/>
    <w:styleLink w:val="WW8Num35"/>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292F8A"/>
    <w:multiLevelType w:val="hybridMultilevel"/>
    <w:tmpl w:val="E37225D8"/>
    <w:lvl w:ilvl="0" w:tplc="24ECD01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6290287"/>
    <w:multiLevelType w:val="multilevel"/>
    <w:tmpl w:val="68F88FF4"/>
    <w:styleLink w:val="WW8Num10"/>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324719"/>
    <w:multiLevelType w:val="hybridMultilevel"/>
    <w:tmpl w:val="749C207A"/>
    <w:lvl w:ilvl="0" w:tplc="0B52A8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AC96A3E"/>
    <w:multiLevelType w:val="hybridMultilevel"/>
    <w:tmpl w:val="2222EA26"/>
    <w:lvl w:ilvl="0" w:tplc="5588CA2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8326FA"/>
    <w:multiLevelType w:val="multilevel"/>
    <w:tmpl w:val="05062A82"/>
    <w:styleLink w:val="WW8Num48"/>
    <w:lvl w:ilvl="0">
      <w:start w:val="1"/>
      <w:numFmt w:val="decimal"/>
      <w:lvlText w:val="%1)"/>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2" w15:restartNumberingAfterBreak="0">
    <w:nsid w:val="70C752CB"/>
    <w:multiLevelType w:val="hybridMultilevel"/>
    <w:tmpl w:val="E5BE4C68"/>
    <w:lvl w:ilvl="0" w:tplc="982EA05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5737DD6"/>
    <w:multiLevelType w:val="multilevel"/>
    <w:tmpl w:val="B6A21B88"/>
    <w:styleLink w:val="WW8Num1"/>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77B6FA7"/>
    <w:multiLevelType w:val="singleLevel"/>
    <w:tmpl w:val="949EFBD6"/>
    <w:lvl w:ilvl="0">
      <w:start w:val="1"/>
      <w:numFmt w:val="decimal"/>
      <w:lvlText w:val="%1)"/>
      <w:lvlJc w:val="left"/>
      <w:pPr>
        <w:tabs>
          <w:tab w:val="num" w:pos="851"/>
        </w:tabs>
        <w:ind w:left="851" w:hanging="426"/>
      </w:pPr>
      <w:rPr>
        <w:rFonts w:hint="default"/>
        <w:caps w:val="0"/>
        <w:strike w:val="0"/>
        <w:dstrike w:val="0"/>
        <w:shadow w:val="0"/>
        <w:emboss w:val="0"/>
        <w:imprint w:val="0"/>
        <w:vanish w:val="0"/>
        <w:vertAlign w:val="baseline"/>
      </w:rPr>
    </w:lvl>
  </w:abstractNum>
  <w:abstractNum w:abstractNumId="45" w15:restartNumberingAfterBreak="0">
    <w:nsid w:val="7B7E76EB"/>
    <w:multiLevelType w:val="hybridMultilevel"/>
    <w:tmpl w:val="C8D638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DB42F66"/>
    <w:multiLevelType w:val="hybridMultilevel"/>
    <w:tmpl w:val="2AEC21E6"/>
    <w:lvl w:ilvl="0" w:tplc="A37E8076">
      <w:start w:val="1"/>
      <w:numFmt w:val="decimal"/>
      <w:lvlText w:val="%1."/>
      <w:lvlJc w:val="left"/>
      <w:pPr>
        <w:tabs>
          <w:tab w:val="num" w:pos="624"/>
        </w:tabs>
        <w:ind w:left="680" w:hanging="25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23"/>
  </w:num>
  <w:num w:numId="5">
    <w:abstractNumId w:val="27"/>
  </w:num>
  <w:num w:numId="6">
    <w:abstractNumId w:val="14"/>
  </w:num>
  <w:num w:numId="7">
    <w:abstractNumId w:val="21"/>
  </w:num>
  <w:num w:numId="8">
    <w:abstractNumId w:val="46"/>
  </w:num>
  <w:num w:numId="9">
    <w:abstractNumId w:val="3"/>
  </w:num>
  <w:num w:numId="10">
    <w:abstractNumId w:val="44"/>
  </w:num>
  <w:num w:numId="11">
    <w:abstractNumId w:val="33"/>
  </w:num>
  <w:num w:numId="12">
    <w:abstractNumId w:val="5"/>
  </w:num>
  <w:num w:numId="13">
    <w:abstractNumId w:val="39"/>
  </w:num>
  <w:num w:numId="14">
    <w:abstractNumId w:val="19"/>
  </w:num>
  <w:num w:numId="15">
    <w:abstractNumId w:val="43"/>
  </w:num>
  <w:num w:numId="16">
    <w:abstractNumId w:val="24"/>
  </w:num>
  <w:num w:numId="17">
    <w:abstractNumId w:val="6"/>
  </w:num>
  <w:num w:numId="18">
    <w:abstractNumId w:val="28"/>
  </w:num>
  <w:num w:numId="19">
    <w:abstractNumId w:val="22"/>
  </w:num>
  <w:num w:numId="20">
    <w:abstractNumId w:val="0"/>
    <w:lvlOverride w:ilvl="0">
      <w:lvl w:ilvl="0">
        <w:start w:val="1"/>
        <w:numFmt w:val="decimal"/>
        <w:lvlText w:val="%1."/>
        <w:lvlJc w:val="left"/>
        <w:pPr>
          <w:ind w:left="786" w:hanging="360"/>
        </w:pPr>
        <w:rPr>
          <w:rFonts w:ascii="Times New Roman" w:eastAsia="Calibri" w:hAnsi="Times New Roman" w:cs="Times New Roman"/>
          <w:bCs/>
          <w:color w:val="000000"/>
          <w:szCs w:val="24"/>
        </w:rPr>
      </w:lvl>
    </w:lvlOverride>
  </w:num>
  <w:num w:numId="21">
    <w:abstractNumId w:val="29"/>
  </w:num>
  <w:num w:numId="22">
    <w:abstractNumId w:val="10"/>
  </w:num>
  <w:num w:numId="23">
    <w:abstractNumId w:val="35"/>
  </w:num>
  <w:num w:numId="24">
    <w:abstractNumId w:val="41"/>
  </w:num>
  <w:num w:numId="25">
    <w:abstractNumId w:val="9"/>
    <w:lvlOverride w:ilvl="0">
      <w:lvl w:ilvl="0">
        <w:start w:val="1"/>
        <w:numFmt w:val="decimal"/>
        <w:lvlText w:val="%1."/>
        <w:lvlJc w:val="left"/>
        <w:pPr>
          <w:ind w:left="786" w:hanging="360"/>
        </w:pPr>
        <w:rPr>
          <w:bCs/>
          <w:szCs w:val="24"/>
        </w:rPr>
      </w:lvl>
    </w:lvlOverride>
  </w:num>
  <w:num w:numId="26">
    <w:abstractNumId w:val="34"/>
  </w:num>
  <w:num w:numId="27">
    <w:abstractNumId w:val="38"/>
  </w:num>
  <w:num w:numId="28">
    <w:abstractNumId w:val="25"/>
  </w:num>
  <w:num w:numId="29">
    <w:abstractNumId w:val="36"/>
  </w:num>
  <w:num w:numId="30">
    <w:abstractNumId w:val="2"/>
  </w:num>
  <w:num w:numId="31">
    <w:abstractNumId w:val="18"/>
  </w:num>
  <w:num w:numId="32">
    <w:abstractNumId w:val="16"/>
  </w:num>
  <w:num w:numId="33">
    <w:abstractNumId w:val="26"/>
  </w:num>
  <w:num w:numId="34">
    <w:abstractNumId w:val="31"/>
  </w:num>
  <w:num w:numId="35">
    <w:abstractNumId w:val="42"/>
  </w:num>
  <w:num w:numId="36">
    <w:abstractNumId w:val="45"/>
  </w:num>
  <w:num w:numId="37">
    <w:abstractNumId w:val="7"/>
  </w:num>
  <w:num w:numId="38">
    <w:abstractNumId w:val="15"/>
  </w:num>
  <w:num w:numId="39">
    <w:abstractNumId w:val="20"/>
  </w:num>
  <w:num w:numId="40">
    <w:abstractNumId w:val="30"/>
  </w:num>
  <w:num w:numId="41">
    <w:abstractNumId w:val="4"/>
  </w:num>
  <w:num w:numId="42">
    <w:abstractNumId w:val="37"/>
  </w:num>
  <w:num w:numId="43">
    <w:abstractNumId w:val="17"/>
  </w:num>
  <w:num w:numId="44">
    <w:abstractNumId w:val="1"/>
  </w:num>
  <w:num w:numId="45">
    <w:abstractNumId w:val="32"/>
  </w:num>
  <w:num w:numId="46">
    <w:abstractNumId w:val="8"/>
  </w:num>
  <w:num w:numId="47">
    <w:abstractNumId w:val="40"/>
  </w:num>
  <w:num w:numId="48">
    <w:abstractNumId w:val="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8D"/>
    <w:rsid w:val="001D15DB"/>
    <w:rsid w:val="00306C8D"/>
    <w:rsid w:val="008F7444"/>
    <w:rsid w:val="00B1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D730"/>
  <w15:chartTrackingRefBased/>
  <w15:docId w15:val="{9F930DD4-5ECE-4554-9EE5-8B67633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306C8D"/>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06C8D"/>
    <w:rPr>
      <w:rFonts w:ascii="Arial" w:eastAsia="Times New Roman" w:hAnsi="Arial" w:cs="Times New Roman"/>
      <w:b/>
      <w:bCs/>
      <w:i/>
      <w:iCs/>
      <w:sz w:val="28"/>
      <w:szCs w:val="28"/>
      <w:lang w:val="x-none" w:eastAsia="x-none"/>
    </w:rPr>
  </w:style>
  <w:style w:type="numbering" w:customStyle="1" w:styleId="Bezlisty1">
    <w:name w:val="Bez listy1"/>
    <w:next w:val="Bezlisty"/>
    <w:semiHidden/>
    <w:rsid w:val="00306C8D"/>
  </w:style>
  <w:style w:type="paragraph" w:customStyle="1" w:styleId="Akapitzlist1">
    <w:name w:val="Akapit z listą1"/>
    <w:basedOn w:val="Normalny"/>
    <w:rsid w:val="00306C8D"/>
    <w:pPr>
      <w:spacing w:after="200" w:line="276" w:lineRule="auto"/>
      <w:ind w:left="720"/>
      <w:jc w:val="center"/>
    </w:pPr>
    <w:rPr>
      <w:rFonts w:ascii="Calibri" w:eastAsia="Times New Roman" w:hAnsi="Calibri" w:cs="Calibri"/>
    </w:rPr>
  </w:style>
  <w:style w:type="character" w:styleId="Odwoaniedokomentarza">
    <w:name w:val="annotation reference"/>
    <w:semiHidden/>
    <w:rsid w:val="00306C8D"/>
    <w:rPr>
      <w:rFonts w:cs="Times New Roman"/>
      <w:sz w:val="16"/>
      <w:szCs w:val="16"/>
    </w:rPr>
  </w:style>
  <w:style w:type="paragraph" w:styleId="Tekstkomentarza">
    <w:name w:val="annotation text"/>
    <w:basedOn w:val="Normalny"/>
    <w:link w:val="TekstkomentarzaZnak"/>
    <w:semiHidden/>
    <w:rsid w:val="00306C8D"/>
    <w:pPr>
      <w:spacing w:after="200" w:line="240" w:lineRule="auto"/>
      <w:jc w:val="center"/>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semiHidden/>
    <w:rsid w:val="00306C8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semiHidden/>
    <w:rsid w:val="00306C8D"/>
    <w:rPr>
      <w:b/>
      <w:bCs/>
    </w:rPr>
  </w:style>
  <w:style w:type="character" w:customStyle="1" w:styleId="TematkomentarzaZnak">
    <w:name w:val="Temat komentarza Znak"/>
    <w:basedOn w:val="TekstkomentarzaZnak"/>
    <w:link w:val="Tematkomentarza"/>
    <w:semiHidden/>
    <w:rsid w:val="00306C8D"/>
    <w:rPr>
      <w:rFonts w:ascii="Calibri" w:eastAsia="Calibri" w:hAnsi="Calibri" w:cs="Times New Roman"/>
      <w:b/>
      <w:bCs/>
      <w:sz w:val="20"/>
      <w:szCs w:val="20"/>
      <w:lang w:val="x-none" w:eastAsia="x-none"/>
    </w:rPr>
  </w:style>
  <w:style w:type="paragraph" w:styleId="Tekstdymka">
    <w:name w:val="Balloon Text"/>
    <w:basedOn w:val="Normalny"/>
    <w:link w:val="TekstdymkaZnak"/>
    <w:semiHidden/>
    <w:rsid w:val="00306C8D"/>
    <w:pPr>
      <w:spacing w:after="0" w:line="240" w:lineRule="auto"/>
      <w:jc w:val="center"/>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306C8D"/>
    <w:rPr>
      <w:rFonts w:ascii="Tahoma" w:eastAsia="Calibri" w:hAnsi="Tahoma" w:cs="Times New Roman"/>
      <w:sz w:val="16"/>
      <w:szCs w:val="16"/>
      <w:lang w:val="x-none" w:eastAsia="x-none"/>
    </w:rPr>
  </w:style>
  <w:style w:type="paragraph" w:styleId="Nagwek">
    <w:name w:val="header"/>
    <w:basedOn w:val="Normalny"/>
    <w:link w:val="NagwekZnak"/>
    <w:semiHidden/>
    <w:rsid w:val="00306C8D"/>
    <w:pPr>
      <w:tabs>
        <w:tab w:val="center" w:pos="4536"/>
        <w:tab w:val="right" w:pos="9072"/>
      </w:tabs>
      <w:spacing w:after="0" w:line="240" w:lineRule="auto"/>
      <w:jc w:val="center"/>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semiHidden/>
    <w:rsid w:val="00306C8D"/>
    <w:rPr>
      <w:rFonts w:ascii="Calibri" w:eastAsia="Calibri" w:hAnsi="Calibri" w:cs="Times New Roman"/>
      <w:sz w:val="20"/>
      <w:szCs w:val="20"/>
      <w:lang w:val="x-none" w:eastAsia="x-none"/>
    </w:rPr>
  </w:style>
  <w:style w:type="paragraph" w:styleId="Stopka">
    <w:name w:val="footer"/>
    <w:basedOn w:val="Normalny"/>
    <w:link w:val="StopkaZnak"/>
    <w:rsid w:val="00306C8D"/>
    <w:pPr>
      <w:tabs>
        <w:tab w:val="center" w:pos="4536"/>
        <w:tab w:val="right" w:pos="9072"/>
      </w:tabs>
      <w:spacing w:after="0" w:line="240" w:lineRule="auto"/>
      <w:jc w:val="center"/>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rsid w:val="00306C8D"/>
    <w:rPr>
      <w:rFonts w:ascii="Calibri" w:eastAsia="Calibri" w:hAnsi="Calibri" w:cs="Times New Roman"/>
      <w:sz w:val="20"/>
      <w:szCs w:val="20"/>
      <w:lang w:val="x-none" w:eastAsia="x-none"/>
    </w:rPr>
  </w:style>
  <w:style w:type="table" w:styleId="Tabela-Siatka">
    <w:name w:val="Table Grid"/>
    <w:basedOn w:val="Standardowy"/>
    <w:rsid w:val="00306C8D"/>
    <w:pPr>
      <w:spacing w:after="0" w:line="240" w:lineRule="auto"/>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
    <w:name w:val="Jasne cieniowanie1"/>
    <w:rsid w:val="00306C8D"/>
    <w:pPr>
      <w:spacing w:after="0" w:line="240" w:lineRule="auto"/>
    </w:pPr>
    <w:rPr>
      <w:rFonts w:ascii="Calibri" w:eastAsia="Times New Roman" w:hAnsi="Calibri" w:cs="Calibri"/>
      <w:color w:val="000000"/>
      <w:sz w:val="20"/>
      <w:szCs w:val="20"/>
      <w:lang w:eastAsia="pl-P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Jasnasiatka1">
    <w:name w:val="Jasna siatka1"/>
    <w:rsid w:val="00306C8D"/>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rsid w:val="00306C8D"/>
    <w:pPr>
      <w:spacing w:after="200" w:line="276" w:lineRule="auto"/>
      <w:jc w:val="center"/>
    </w:pPr>
    <w:rPr>
      <w:rFonts w:ascii="Calibri" w:eastAsia="Times New Roman" w:hAnsi="Calibri" w:cs="Times New Roman"/>
      <w:sz w:val="20"/>
      <w:szCs w:val="20"/>
      <w:lang w:val="x-none"/>
    </w:rPr>
  </w:style>
  <w:style w:type="character" w:customStyle="1" w:styleId="TekstprzypisukocowegoZnak">
    <w:name w:val="Tekst przypisu końcowego Znak"/>
    <w:basedOn w:val="Domylnaczcionkaakapitu"/>
    <w:link w:val="Tekstprzypisukocowego"/>
    <w:rsid w:val="00306C8D"/>
    <w:rPr>
      <w:rFonts w:ascii="Calibri" w:eastAsia="Times New Roman" w:hAnsi="Calibri" w:cs="Times New Roman"/>
      <w:sz w:val="20"/>
      <w:szCs w:val="20"/>
      <w:lang w:val="x-none"/>
    </w:rPr>
  </w:style>
  <w:style w:type="character" w:styleId="Odwoanieprzypisukocowego">
    <w:name w:val="endnote reference"/>
    <w:rsid w:val="00306C8D"/>
    <w:rPr>
      <w:vertAlign w:val="superscript"/>
    </w:rPr>
  </w:style>
  <w:style w:type="paragraph" w:styleId="Tekstprzypisudolnego">
    <w:name w:val="footnote text"/>
    <w:basedOn w:val="Normalny"/>
    <w:link w:val="TekstprzypisudolnegoZnak"/>
    <w:rsid w:val="00306C8D"/>
    <w:pPr>
      <w:spacing w:after="200" w:line="276" w:lineRule="auto"/>
      <w:jc w:val="center"/>
    </w:pPr>
    <w:rPr>
      <w:rFonts w:ascii="Calibri" w:eastAsia="Times New Roman" w:hAnsi="Calibri" w:cs="Times New Roman"/>
      <w:sz w:val="20"/>
      <w:szCs w:val="20"/>
      <w:lang w:val="x-none"/>
    </w:rPr>
  </w:style>
  <w:style w:type="character" w:customStyle="1" w:styleId="TekstprzypisudolnegoZnak">
    <w:name w:val="Tekst przypisu dolnego Znak"/>
    <w:basedOn w:val="Domylnaczcionkaakapitu"/>
    <w:link w:val="Tekstprzypisudolnego"/>
    <w:rsid w:val="00306C8D"/>
    <w:rPr>
      <w:rFonts w:ascii="Calibri" w:eastAsia="Times New Roman" w:hAnsi="Calibri" w:cs="Times New Roman"/>
      <w:sz w:val="20"/>
      <w:szCs w:val="20"/>
      <w:lang w:val="x-none"/>
    </w:rPr>
  </w:style>
  <w:style w:type="character" w:styleId="Odwoanieprzypisudolnego">
    <w:name w:val="footnote reference"/>
    <w:rsid w:val="00306C8D"/>
    <w:rPr>
      <w:vertAlign w:val="superscript"/>
    </w:rPr>
  </w:style>
  <w:style w:type="paragraph" w:styleId="Tekstpodstawowy3">
    <w:name w:val="Body Text 3"/>
    <w:basedOn w:val="Normalny"/>
    <w:link w:val="Tekstpodstawowy3Znak"/>
    <w:rsid w:val="00306C8D"/>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06C8D"/>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306C8D"/>
    <w:pPr>
      <w:widowControl w:val="0"/>
      <w:snapToGri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306C8D"/>
    <w:rPr>
      <w:rFonts w:ascii="Times New Roman" w:eastAsia="Times New Roman" w:hAnsi="Times New Roman" w:cs="Times New Roman"/>
      <w:sz w:val="20"/>
      <w:szCs w:val="20"/>
      <w:lang w:val="x-none" w:eastAsia="x-none"/>
    </w:rPr>
  </w:style>
  <w:style w:type="paragraph" w:customStyle="1" w:styleId="Akapitzlist2">
    <w:name w:val="Akapit z listą2"/>
    <w:basedOn w:val="Normalny"/>
    <w:rsid w:val="00306C8D"/>
    <w:pPr>
      <w:spacing w:after="200" w:line="276" w:lineRule="auto"/>
      <w:ind w:left="720"/>
      <w:jc w:val="center"/>
    </w:pPr>
    <w:rPr>
      <w:rFonts w:ascii="Calibri" w:eastAsia="Times New Roman" w:hAnsi="Calibri" w:cs="Calibri"/>
    </w:rPr>
  </w:style>
  <w:style w:type="paragraph" w:customStyle="1" w:styleId="Standard">
    <w:name w:val="Standard"/>
    <w:rsid w:val="00306C8D"/>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numbering" w:customStyle="1" w:styleId="WW8Num31">
    <w:name w:val="WW8Num31"/>
    <w:rsid w:val="00306C8D"/>
    <w:pPr>
      <w:numPr>
        <w:numId w:val="14"/>
      </w:numPr>
    </w:pPr>
  </w:style>
  <w:style w:type="numbering" w:customStyle="1" w:styleId="WW8Num1">
    <w:name w:val="WW8Num1"/>
    <w:rsid w:val="00306C8D"/>
    <w:pPr>
      <w:numPr>
        <w:numId w:val="15"/>
      </w:numPr>
    </w:pPr>
  </w:style>
  <w:style w:type="numbering" w:customStyle="1" w:styleId="WW8Num23">
    <w:name w:val="WW8Num23"/>
    <w:rsid w:val="00306C8D"/>
    <w:pPr>
      <w:numPr>
        <w:numId w:val="16"/>
      </w:numPr>
    </w:pPr>
  </w:style>
  <w:style w:type="numbering" w:customStyle="1" w:styleId="WW8Num29">
    <w:name w:val="WW8Num29"/>
    <w:basedOn w:val="Bezlisty"/>
    <w:rsid w:val="00306C8D"/>
    <w:pPr>
      <w:numPr>
        <w:numId w:val="17"/>
      </w:numPr>
    </w:pPr>
  </w:style>
  <w:style w:type="numbering" w:customStyle="1" w:styleId="WW8Num26">
    <w:name w:val="WW8Num26"/>
    <w:basedOn w:val="Bezlisty"/>
    <w:rsid w:val="00306C8D"/>
    <w:pPr>
      <w:numPr>
        <w:numId w:val="18"/>
      </w:numPr>
    </w:pPr>
  </w:style>
  <w:style w:type="numbering" w:customStyle="1" w:styleId="WW8Num20">
    <w:name w:val="WW8Num20"/>
    <w:basedOn w:val="Bezlisty"/>
    <w:rsid w:val="00306C8D"/>
    <w:pPr>
      <w:numPr>
        <w:numId w:val="19"/>
      </w:numPr>
    </w:pPr>
  </w:style>
  <w:style w:type="numbering" w:customStyle="1" w:styleId="WW8Num12">
    <w:name w:val="WW8Num12"/>
    <w:basedOn w:val="Bezlisty"/>
    <w:rsid w:val="00306C8D"/>
    <w:pPr>
      <w:numPr>
        <w:numId w:val="48"/>
      </w:numPr>
    </w:pPr>
  </w:style>
  <w:style w:type="numbering" w:customStyle="1" w:styleId="WW8Num47">
    <w:name w:val="WW8Num47"/>
    <w:basedOn w:val="Bezlisty"/>
    <w:rsid w:val="00306C8D"/>
    <w:pPr>
      <w:numPr>
        <w:numId w:val="21"/>
      </w:numPr>
    </w:pPr>
  </w:style>
  <w:style w:type="numbering" w:customStyle="1" w:styleId="WW8Num37">
    <w:name w:val="WW8Num37"/>
    <w:basedOn w:val="Bezlisty"/>
    <w:rsid w:val="00306C8D"/>
    <w:pPr>
      <w:numPr>
        <w:numId w:val="22"/>
      </w:numPr>
    </w:pPr>
  </w:style>
  <w:style w:type="paragraph" w:styleId="Akapitzlist">
    <w:name w:val="List Paragraph"/>
    <w:basedOn w:val="Normalny"/>
    <w:qFormat/>
    <w:rsid w:val="00306C8D"/>
    <w:pPr>
      <w:spacing w:after="200" w:line="276" w:lineRule="auto"/>
      <w:ind w:left="720"/>
      <w:contextualSpacing/>
    </w:pPr>
    <w:rPr>
      <w:rFonts w:ascii="Calibri" w:eastAsia="Calibri" w:hAnsi="Calibri" w:cs="Times New Roman"/>
    </w:rPr>
  </w:style>
  <w:style w:type="numbering" w:customStyle="1" w:styleId="WW8Num44">
    <w:name w:val="WW8Num44"/>
    <w:basedOn w:val="Bezlisty"/>
    <w:rsid w:val="00306C8D"/>
    <w:pPr>
      <w:numPr>
        <w:numId w:val="23"/>
      </w:numPr>
    </w:pPr>
  </w:style>
  <w:style w:type="numbering" w:customStyle="1" w:styleId="WW8Num48">
    <w:name w:val="WW8Num48"/>
    <w:basedOn w:val="Bezlisty"/>
    <w:rsid w:val="00306C8D"/>
    <w:pPr>
      <w:numPr>
        <w:numId w:val="24"/>
      </w:numPr>
    </w:pPr>
  </w:style>
  <w:style w:type="numbering" w:customStyle="1" w:styleId="WW8Num25">
    <w:name w:val="WW8Num25"/>
    <w:basedOn w:val="Bezlisty"/>
    <w:rsid w:val="00306C8D"/>
    <w:pPr>
      <w:numPr>
        <w:numId w:val="49"/>
      </w:numPr>
    </w:pPr>
  </w:style>
  <w:style w:type="numbering" w:customStyle="1" w:styleId="WW8Num2">
    <w:name w:val="WW8Num2"/>
    <w:basedOn w:val="Bezlisty"/>
    <w:rsid w:val="00306C8D"/>
    <w:pPr>
      <w:numPr>
        <w:numId w:val="26"/>
      </w:numPr>
    </w:pPr>
  </w:style>
  <w:style w:type="numbering" w:customStyle="1" w:styleId="WW8Num10">
    <w:name w:val="WW8Num10"/>
    <w:basedOn w:val="Bezlisty"/>
    <w:rsid w:val="00306C8D"/>
    <w:pPr>
      <w:numPr>
        <w:numId w:val="27"/>
      </w:numPr>
    </w:pPr>
  </w:style>
  <w:style w:type="numbering" w:customStyle="1" w:styleId="WW8Num471">
    <w:name w:val="WW8Num471"/>
    <w:basedOn w:val="Bezlisty"/>
    <w:rsid w:val="00306C8D"/>
    <w:pPr>
      <w:numPr>
        <w:numId w:val="5"/>
      </w:numPr>
    </w:pPr>
  </w:style>
  <w:style w:type="numbering" w:customStyle="1" w:styleId="WW8Num35">
    <w:name w:val="WW8Num35"/>
    <w:basedOn w:val="Bezlisty"/>
    <w:rsid w:val="00306C8D"/>
    <w:pPr>
      <w:numPr>
        <w:numId w:val="29"/>
      </w:numPr>
    </w:pPr>
  </w:style>
  <w:style w:type="numbering" w:customStyle="1" w:styleId="WW8Num45">
    <w:name w:val="WW8Num45"/>
    <w:basedOn w:val="Bezlisty"/>
    <w:rsid w:val="00306C8D"/>
    <w:pPr>
      <w:numPr>
        <w:numId w:val="30"/>
      </w:numPr>
    </w:pPr>
  </w:style>
  <w:style w:type="numbering" w:customStyle="1" w:styleId="WW8Num14">
    <w:name w:val="WW8Num14"/>
    <w:basedOn w:val="Bezlisty"/>
    <w:rsid w:val="00306C8D"/>
    <w:pPr>
      <w:numPr>
        <w:numId w:val="31"/>
      </w:numPr>
    </w:pPr>
  </w:style>
  <w:style w:type="paragraph" w:styleId="Tytu">
    <w:name w:val="Title"/>
    <w:basedOn w:val="Normalny"/>
    <w:next w:val="Normalny"/>
    <w:link w:val="TytuZnak"/>
    <w:uiPriority w:val="10"/>
    <w:qFormat/>
    <w:rsid w:val="001D1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D15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2795</Words>
  <Characters>16772</Characters>
  <Application>Microsoft Office Word</Application>
  <DocSecurity>0</DocSecurity>
  <Lines>139</Lines>
  <Paragraphs>39</Paragraphs>
  <ScaleCrop>false</ScaleCrop>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Łukasik</dc:creator>
  <cp:keywords/>
  <dc:description/>
  <cp:lastModifiedBy>Joanna Łukasik</cp:lastModifiedBy>
  <cp:revision>2</cp:revision>
  <dcterms:created xsi:type="dcterms:W3CDTF">2021-07-01T08:53:00Z</dcterms:created>
  <dcterms:modified xsi:type="dcterms:W3CDTF">2021-07-01T09:24:00Z</dcterms:modified>
</cp:coreProperties>
</file>